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
        <w:jc w:val="center"/>
        <w:rPr>
          <w:rFonts w:ascii="黑体" w:eastAsia="黑体"/>
          <w:sz w:val="44"/>
        </w:rPr>
      </w:pPr>
      <w:r>
        <w:rPr>
          <w:rFonts w:hint="eastAsia" w:ascii="黑体" w:eastAsia="黑体"/>
          <w:sz w:val="44"/>
        </w:rPr>
        <w:t>佛山市顺德区九如城老人护理服务有限公司改造工程招标公告</w:t>
      </w:r>
    </w:p>
    <w:p>
      <w:pPr>
        <w:pStyle w:val="7"/>
        <w:jc w:val="center"/>
        <w:rPr>
          <w:rFonts w:ascii="黑体"/>
          <w:sz w:val="44"/>
        </w:rPr>
      </w:pPr>
    </w:p>
    <w:p>
      <w:pPr>
        <w:pStyle w:val="7"/>
        <w:spacing w:before="9"/>
        <w:rPr>
          <w:rFonts w:ascii="黑体"/>
          <w:sz w:val="37"/>
        </w:rPr>
      </w:pPr>
    </w:p>
    <w:p>
      <w:pPr>
        <w:pStyle w:val="3"/>
      </w:pPr>
      <w:r>
        <w:t>一、招标条件</w:t>
      </w:r>
    </w:p>
    <w:p>
      <w:pPr>
        <w:spacing w:before="161" w:line="364" w:lineRule="auto"/>
        <w:ind w:left="660" w:right="553" w:firstLine="590"/>
        <w:rPr>
          <w:sz w:val="24"/>
        </w:rPr>
      </w:pPr>
      <w:r>
        <w:rPr>
          <w:rFonts w:hint="eastAsia"/>
          <w:b/>
          <w:spacing w:val="6"/>
          <w:sz w:val="24"/>
          <w:u w:val="single"/>
        </w:rPr>
        <w:t>佛山市顺德区九如城老人护理服务有限公司</w:t>
      </w:r>
      <w:r>
        <w:rPr>
          <w:rFonts w:ascii="Times New Roman" w:eastAsia="Times New Roman"/>
          <w:spacing w:val="6"/>
          <w:sz w:val="24"/>
        </w:rPr>
        <w:t>(</w:t>
      </w:r>
      <w:r>
        <w:rPr>
          <w:spacing w:val="5"/>
          <w:sz w:val="24"/>
        </w:rPr>
        <w:t>项目名称</w:t>
      </w:r>
      <w:r>
        <w:rPr>
          <w:rFonts w:ascii="Times New Roman" w:eastAsia="Times New Roman"/>
          <w:sz w:val="24"/>
        </w:rPr>
        <w:t>)</w:t>
      </w:r>
      <w:r>
        <w:rPr>
          <w:rFonts w:ascii="Times New Roman" w:eastAsia="Times New Roman"/>
          <w:sz w:val="24"/>
          <w:u w:val="single"/>
        </w:rPr>
        <w:t xml:space="preserve"> </w:t>
      </w:r>
      <w:r>
        <w:rPr>
          <w:sz w:val="24"/>
        </w:rPr>
        <w:t>招标人</w:t>
      </w:r>
      <w:r>
        <w:rPr>
          <w:rFonts w:ascii="Times New Roman" w:eastAsia="Times New Roman"/>
          <w:sz w:val="24"/>
        </w:rPr>
        <w:t>(</w:t>
      </w:r>
      <w:r>
        <w:rPr>
          <w:sz w:val="24"/>
        </w:rPr>
        <w:t>项目业主</w:t>
      </w:r>
      <w:r>
        <w:rPr>
          <w:rFonts w:ascii="Times New Roman" w:eastAsia="Times New Roman"/>
          <w:sz w:val="24"/>
        </w:rPr>
        <w:t>)</w:t>
      </w:r>
      <w:r>
        <w:rPr>
          <w:sz w:val="24"/>
        </w:rPr>
        <w:t>为</w:t>
      </w:r>
      <w:r>
        <w:rPr>
          <w:rFonts w:hint="eastAsia"/>
          <w:b/>
          <w:sz w:val="24"/>
        </w:rPr>
        <w:t>佛山市顺德区九如城老人护理服务有限公司</w:t>
      </w:r>
      <w:r>
        <w:rPr>
          <w:spacing w:val="-25"/>
          <w:sz w:val="24"/>
        </w:rPr>
        <w:t>，建设资金来源：</w:t>
      </w:r>
      <w:r>
        <w:rPr>
          <w:b/>
          <w:sz w:val="24"/>
          <w:u w:val="single"/>
        </w:rPr>
        <w:t>自筹</w:t>
      </w:r>
      <w:r>
        <w:rPr>
          <w:rFonts w:ascii="Times New Roman" w:eastAsia="Times New Roman"/>
          <w:sz w:val="24"/>
        </w:rPr>
        <w:t>(</w:t>
      </w:r>
      <w:r>
        <w:rPr>
          <w:spacing w:val="-2"/>
          <w:sz w:val="24"/>
        </w:rPr>
        <w:t>资金来源</w:t>
      </w:r>
      <w:r>
        <w:rPr>
          <w:rFonts w:ascii="Times New Roman" w:eastAsia="Times New Roman"/>
          <w:spacing w:val="-45"/>
          <w:sz w:val="24"/>
        </w:rPr>
        <w:t>)</w:t>
      </w:r>
      <w:r>
        <w:rPr>
          <w:spacing w:val="-7"/>
          <w:sz w:val="24"/>
        </w:rPr>
        <w:t>，项目出资比例为</w:t>
      </w:r>
      <w:r>
        <w:rPr>
          <w:rFonts w:hint="eastAsia" w:asciiTheme="minorEastAsia" w:hAnsiTheme="minorEastAsia" w:eastAsiaTheme="minorEastAsia"/>
          <w:b/>
          <w:spacing w:val="-2"/>
          <w:sz w:val="24"/>
          <w:u w:val="single"/>
        </w:rPr>
        <w:t>业主</w:t>
      </w:r>
      <w:r>
        <w:rPr>
          <w:b/>
          <w:spacing w:val="-4"/>
          <w:sz w:val="24"/>
          <w:u w:val="single"/>
        </w:rPr>
        <w:t>私有资金：</w:t>
      </w:r>
      <w:r>
        <w:rPr>
          <w:rFonts w:ascii="Times New Roman" w:eastAsia="Times New Roman"/>
          <w:b/>
          <w:spacing w:val="-19"/>
          <w:sz w:val="24"/>
          <w:u w:val="single"/>
        </w:rPr>
        <w:t>100.00</w:t>
      </w:r>
      <w:r>
        <w:rPr>
          <w:rFonts w:ascii="Times New Roman" w:eastAsia="Times New Roman"/>
          <w:b/>
          <w:spacing w:val="-1"/>
          <w:sz w:val="24"/>
          <w:u w:val="single"/>
        </w:rPr>
        <w:t>%,</w:t>
      </w:r>
      <w:r>
        <w:rPr>
          <w:b/>
          <w:sz w:val="24"/>
          <w:u w:val="single"/>
        </w:rPr>
        <w:t>政府及组织投资</w:t>
      </w:r>
      <w:r>
        <w:rPr>
          <w:rFonts w:ascii="Times New Roman" w:eastAsia="Times New Roman"/>
          <w:b/>
          <w:sz w:val="24"/>
          <w:u w:val="single"/>
        </w:rPr>
        <w:t>:0.00</w:t>
      </w:r>
      <w:r>
        <w:rPr>
          <w:rFonts w:ascii="Times New Roman" w:eastAsia="Times New Roman"/>
          <w:b/>
          <w:spacing w:val="-1"/>
          <w:sz w:val="24"/>
          <w:u w:val="single"/>
        </w:rPr>
        <w:t xml:space="preserve"> %,</w:t>
      </w:r>
      <w:r>
        <w:rPr>
          <w:b/>
          <w:sz w:val="24"/>
          <w:u w:val="single"/>
        </w:rPr>
        <w:t>境外私人投资</w:t>
      </w:r>
      <w:r>
        <w:rPr>
          <w:rFonts w:ascii="Times New Roman" w:eastAsia="Times New Roman"/>
          <w:b/>
          <w:sz w:val="24"/>
          <w:u w:val="single"/>
        </w:rPr>
        <w:t>:0.00</w:t>
      </w:r>
      <w:r>
        <w:rPr>
          <w:rFonts w:ascii="Times New Roman" w:eastAsia="Times New Roman"/>
          <w:b/>
          <w:spacing w:val="-1"/>
          <w:sz w:val="24"/>
          <w:u w:val="single"/>
        </w:rPr>
        <w:t xml:space="preserve"> %</w:t>
      </w:r>
      <w:r>
        <w:rPr>
          <w:sz w:val="24"/>
        </w:rPr>
        <w:t>。项目已具备招标条件，现对该项目的施工进行公开招标。</w:t>
      </w:r>
    </w:p>
    <w:p>
      <w:pPr>
        <w:pStyle w:val="7"/>
        <w:rPr>
          <w:sz w:val="24"/>
        </w:rPr>
      </w:pPr>
    </w:p>
    <w:p>
      <w:pPr>
        <w:pStyle w:val="3"/>
        <w:spacing w:before="165"/>
      </w:pPr>
      <w:r>
        <w:t>二、项目概况</w:t>
      </w:r>
    </w:p>
    <w:p>
      <w:pPr>
        <w:pStyle w:val="4"/>
        <w:keepNext w:val="0"/>
        <w:keepLines w:val="0"/>
        <w:pageBreakBefore w:val="0"/>
        <w:widowControl w:val="0"/>
        <w:tabs>
          <w:tab w:val="left" w:pos="4157"/>
          <w:tab w:val="left" w:pos="6258"/>
        </w:tabs>
        <w:kinsoku/>
        <w:wordWrap/>
        <w:overflowPunct/>
        <w:topLinePunct w:val="0"/>
        <w:autoSpaceDE w:val="0"/>
        <w:autoSpaceDN w:val="0"/>
        <w:bidi w:val="0"/>
        <w:adjustRightInd/>
        <w:snapToGrid/>
        <w:spacing w:line="365" w:lineRule="auto"/>
        <w:ind w:right="0" w:firstLine="480" w:firstLineChars="200"/>
        <w:textAlignment w:val="auto"/>
        <w:rPr>
          <w:rFonts w:hint="eastAsia"/>
          <w:u w:val="single"/>
          <w:lang w:val="en-US" w:eastAsia="zh-CN"/>
        </w:rPr>
      </w:pPr>
      <w:r>
        <w:t>工程地点</w:t>
      </w:r>
      <w:r>
        <w:rPr>
          <w:rFonts w:hint="eastAsia"/>
          <w:lang w:eastAsia="zh-CN"/>
        </w:rPr>
        <w:t>：</w:t>
      </w:r>
      <w:r>
        <w:rPr>
          <w:rFonts w:hint="eastAsia"/>
          <w:u w:val="single"/>
          <w:lang w:val="en-US" w:eastAsia="zh-CN"/>
        </w:rPr>
        <w:t>佛山市顺德区大良金榜居委会新基路96号</w:t>
      </w:r>
    </w:p>
    <w:p>
      <w:pPr>
        <w:pStyle w:val="4"/>
        <w:tabs>
          <w:tab w:val="left" w:pos="4157"/>
          <w:tab w:val="left" w:pos="6258"/>
        </w:tabs>
        <w:spacing w:line="364" w:lineRule="auto"/>
        <w:ind w:left="1097" w:right="3386"/>
      </w:pPr>
      <w:r>
        <w:t>工程规模：</w:t>
      </w:r>
      <w:r>
        <w:rPr>
          <w:u w:val="single"/>
        </w:rPr>
        <w:t xml:space="preserve">  </w:t>
      </w:r>
      <w:r>
        <w:rPr>
          <w:rFonts w:hint="eastAsia"/>
          <w:u w:val="single"/>
        </w:rPr>
        <w:t>2600</w:t>
      </w:r>
      <w:r>
        <w:rPr>
          <w:rFonts w:ascii="Times New Roman" w:eastAsia="Times New Roman"/>
          <w:u w:val="single"/>
        </w:rPr>
        <w:t xml:space="preserve"> </w:t>
      </w:r>
      <w:r>
        <w:rPr>
          <w:u w:val="single"/>
        </w:rPr>
        <w:t>平方米</w:t>
      </w:r>
      <w:r>
        <w:rPr>
          <w:u w:val="single"/>
        </w:rPr>
        <w:tab/>
      </w:r>
    </w:p>
    <w:p>
      <w:pPr>
        <w:spacing w:before="1"/>
        <w:ind w:left="1140"/>
        <w:rPr>
          <w:sz w:val="24"/>
        </w:rPr>
      </w:pPr>
      <w:r>
        <w:rPr>
          <w:sz w:val="24"/>
        </w:rPr>
        <w:t>质量等级要求：</w:t>
      </w:r>
      <w:r>
        <w:rPr>
          <w:sz w:val="24"/>
          <w:u w:val="single"/>
        </w:rPr>
        <w:t>合格</w:t>
      </w:r>
    </w:p>
    <w:p>
      <w:pPr>
        <w:tabs>
          <w:tab w:val="left" w:pos="2537"/>
          <w:tab w:val="left" w:pos="4397"/>
        </w:tabs>
        <w:spacing w:before="161" w:line="364" w:lineRule="auto"/>
        <w:ind w:left="1097" w:right="2366"/>
        <w:rPr>
          <w:spacing w:val="-17"/>
          <w:sz w:val="24"/>
          <w:u w:val="single"/>
        </w:rPr>
      </w:pPr>
      <w:r>
        <w:rPr>
          <w:sz w:val="24"/>
        </w:rPr>
        <w:t>计划开竣工时间：</w:t>
      </w:r>
      <w:r>
        <w:rPr>
          <w:sz w:val="24"/>
          <w:u w:val="single"/>
        </w:rPr>
        <w:t xml:space="preserve"> </w:t>
      </w:r>
      <w:r>
        <w:rPr>
          <w:rFonts w:hint="eastAsia"/>
          <w:sz w:val="24"/>
          <w:u w:val="single"/>
        </w:rPr>
        <w:t>20</w:t>
      </w:r>
      <w:r>
        <w:rPr>
          <w:rFonts w:hint="eastAsia"/>
          <w:sz w:val="24"/>
          <w:u w:val="single"/>
          <w:lang w:val="en-US" w:eastAsia="zh-CN"/>
        </w:rPr>
        <w:t>20</w:t>
      </w:r>
      <w:r>
        <w:rPr>
          <w:rFonts w:ascii="Times New Roman" w:eastAsia="Times New Roman"/>
          <w:sz w:val="24"/>
          <w:u w:val="single"/>
        </w:rPr>
        <w:t xml:space="preserve"> </w:t>
      </w:r>
      <w:r>
        <w:rPr>
          <w:sz w:val="24"/>
          <w:u w:val="single"/>
        </w:rPr>
        <w:t>年</w:t>
      </w:r>
      <w:r>
        <w:rPr>
          <w:rFonts w:hint="eastAsia"/>
          <w:sz w:val="24"/>
          <w:u w:val="single"/>
          <w:lang w:val="en-US" w:eastAsia="zh-CN"/>
        </w:rPr>
        <w:t>3月5日</w:t>
      </w:r>
      <w:r>
        <w:rPr>
          <w:sz w:val="24"/>
          <w:u w:val="single"/>
        </w:rPr>
        <w:t>至 20</w:t>
      </w:r>
      <w:r>
        <w:rPr>
          <w:rFonts w:hint="eastAsia"/>
          <w:sz w:val="24"/>
          <w:u w:val="single"/>
          <w:lang w:val="en-US" w:eastAsia="zh-CN"/>
        </w:rPr>
        <w:t>20</w:t>
      </w:r>
      <w:r>
        <w:rPr>
          <w:sz w:val="24"/>
          <w:u w:val="single"/>
        </w:rPr>
        <w:t xml:space="preserve">年 </w:t>
      </w:r>
      <w:r>
        <w:rPr>
          <w:rFonts w:hint="eastAsia"/>
          <w:sz w:val="24"/>
          <w:u w:val="single"/>
          <w:lang w:val="en-US" w:eastAsia="zh-CN"/>
        </w:rPr>
        <w:t>3</w:t>
      </w:r>
      <w:r>
        <w:rPr>
          <w:sz w:val="24"/>
          <w:u w:val="single"/>
        </w:rPr>
        <w:t xml:space="preserve"> 月</w:t>
      </w:r>
      <w:r>
        <w:rPr>
          <w:rFonts w:hint="eastAsia"/>
          <w:sz w:val="24"/>
          <w:u w:val="single"/>
          <w:lang w:val="en-US" w:eastAsia="zh-CN"/>
        </w:rPr>
        <w:t>25</w:t>
      </w:r>
      <w:r>
        <w:rPr>
          <w:sz w:val="24"/>
          <w:u w:val="single"/>
        </w:rPr>
        <w:t>日</w:t>
      </w:r>
    </w:p>
    <w:p>
      <w:pPr>
        <w:tabs>
          <w:tab w:val="left" w:pos="2537"/>
          <w:tab w:val="left" w:pos="4397"/>
        </w:tabs>
        <w:spacing w:before="161" w:line="364" w:lineRule="auto"/>
        <w:ind w:left="1097" w:right="2366"/>
        <w:rPr>
          <w:sz w:val="24"/>
        </w:rPr>
      </w:pPr>
      <w:r>
        <w:rPr>
          <w:rFonts w:hint="eastAsia"/>
          <w:sz w:val="24"/>
          <w:lang w:eastAsia="zh-CN"/>
        </w:rPr>
        <w:t>评标方式：</w:t>
      </w:r>
      <w:r>
        <w:rPr>
          <w:sz w:val="24"/>
        </w:rPr>
        <w:tab/>
      </w:r>
      <w:r>
        <w:rPr>
          <w:sz w:val="24"/>
          <w:u w:val="single"/>
        </w:rPr>
        <w:t xml:space="preserve"> </w:t>
      </w:r>
      <w:r>
        <w:rPr>
          <w:rFonts w:ascii="Times New Roman" w:eastAsia="Times New Roman"/>
          <w:sz w:val="24"/>
          <w:u w:val="single"/>
        </w:rPr>
        <w:t xml:space="preserve"> </w:t>
      </w:r>
      <w:r>
        <w:rPr>
          <w:rFonts w:hint="eastAsia" w:ascii="Times New Roman" w:eastAsia="Times New Roman"/>
          <w:sz w:val="24"/>
          <w:u w:val="single"/>
          <w:lang w:eastAsia="zh-CN"/>
        </w:rPr>
        <w:t>最</w:t>
      </w:r>
      <w:r>
        <w:rPr>
          <w:rFonts w:hint="eastAsia" w:ascii="Times New Roman"/>
          <w:sz w:val="24"/>
          <w:u w:val="single"/>
          <w:lang w:val="en-US" w:eastAsia="zh-CN"/>
        </w:rPr>
        <w:t>低价中标</w:t>
      </w:r>
      <w:r>
        <w:rPr>
          <w:sz w:val="24"/>
          <w:u w:val="single"/>
        </w:rPr>
        <w:tab/>
      </w:r>
    </w:p>
    <w:p>
      <w:pPr>
        <w:tabs>
          <w:tab w:val="left" w:pos="2537"/>
          <w:tab w:val="left" w:pos="3137"/>
          <w:tab w:val="left" w:pos="5177"/>
        </w:tabs>
        <w:spacing w:before="1" w:line="364" w:lineRule="auto"/>
        <w:ind w:left="1020" w:right="3103" w:firstLine="76"/>
        <w:rPr>
          <w:rFonts w:hint="default" w:eastAsia="宋体"/>
          <w:sz w:val="24"/>
          <w:lang w:val="en-US" w:eastAsia="zh-CN"/>
        </w:rPr>
      </w:pPr>
      <w:r>
        <w:rPr>
          <w:sz w:val="24"/>
        </w:rPr>
        <w:t>结构类型：</w:t>
      </w:r>
      <w:r>
        <w:rPr>
          <w:sz w:val="24"/>
        </w:rPr>
        <w:tab/>
      </w:r>
      <w:r>
        <w:rPr>
          <w:sz w:val="24"/>
          <w:u w:val="single"/>
        </w:rPr>
        <w:t xml:space="preserve"> </w:t>
      </w:r>
      <w:r>
        <w:rPr>
          <w:sz w:val="24"/>
          <w:u w:val="single"/>
        </w:rPr>
        <w:tab/>
      </w:r>
      <w:r>
        <w:rPr>
          <w:sz w:val="24"/>
          <w:u w:val="single"/>
        </w:rPr>
        <w:t>框架结构</w:t>
      </w:r>
      <w:r>
        <w:rPr>
          <w:sz w:val="24"/>
          <w:u w:val="single"/>
        </w:rPr>
        <w:tab/>
      </w:r>
      <w:r>
        <w:rPr>
          <w:sz w:val="24"/>
        </w:rPr>
        <w:t xml:space="preserve">          本次招标范围：</w:t>
      </w:r>
      <w:r>
        <w:rPr>
          <w:rFonts w:hint="eastAsia"/>
          <w:sz w:val="24"/>
          <w:lang w:eastAsia="zh-CN"/>
        </w:rPr>
        <w:t>整个项目的拆除及隔墙改造</w:t>
      </w:r>
    </w:p>
    <w:p>
      <w:pPr>
        <w:pStyle w:val="7"/>
        <w:rPr>
          <w:sz w:val="20"/>
        </w:rPr>
      </w:pPr>
    </w:p>
    <w:p>
      <w:pPr>
        <w:spacing w:before="213"/>
        <w:ind w:left="660"/>
        <w:rPr>
          <w:b/>
          <w:sz w:val="24"/>
        </w:rPr>
      </w:pPr>
      <w:r>
        <w:rPr>
          <w:b/>
          <w:sz w:val="24"/>
        </w:rPr>
        <w:t>三、投标人资格条件</w:t>
      </w:r>
    </w:p>
    <w:p>
      <w:pPr>
        <w:spacing w:before="161"/>
        <w:ind w:left="1140"/>
        <w:rPr>
          <w:sz w:val="24"/>
        </w:rPr>
      </w:pPr>
      <w:r>
        <w:rPr>
          <w:spacing w:val="-8"/>
          <w:sz w:val="24"/>
        </w:rPr>
        <w:t xml:space="preserve">本公告共划分成 </w:t>
      </w:r>
      <w:r>
        <w:rPr>
          <w:b/>
          <w:sz w:val="24"/>
          <w:u w:val="single"/>
        </w:rPr>
        <w:t>1</w:t>
      </w:r>
      <w:r>
        <w:rPr>
          <w:b/>
          <w:spacing w:val="-59"/>
          <w:sz w:val="24"/>
        </w:rPr>
        <w:t xml:space="preserve"> </w:t>
      </w:r>
      <w:r>
        <w:rPr>
          <w:sz w:val="24"/>
        </w:rPr>
        <w:t>个标段，标段划分及投标人资格要求如下：</w:t>
      </w:r>
    </w:p>
    <w:p>
      <w:pPr>
        <w:pStyle w:val="7"/>
        <w:spacing w:before="4"/>
        <w:rPr>
          <w:sz w:val="6"/>
        </w:rPr>
      </w:pPr>
    </w:p>
    <w:tbl>
      <w:tblPr>
        <w:tblStyle w:val="8"/>
        <w:tblW w:w="9409" w:type="dxa"/>
        <w:tblInd w:w="1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48"/>
        <w:gridCol w:w="2127"/>
        <w:gridCol w:w="1133"/>
        <w:gridCol w:w="3404"/>
        <w:gridCol w:w="14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5" w:hRule="atLeast"/>
        </w:trPr>
        <w:tc>
          <w:tcPr>
            <w:tcW w:w="1248" w:type="dxa"/>
          </w:tcPr>
          <w:p>
            <w:pPr>
              <w:pStyle w:val="18"/>
              <w:spacing w:before="9"/>
              <w:jc w:val="left"/>
              <w:rPr>
                <w:sz w:val="26"/>
              </w:rPr>
            </w:pPr>
          </w:p>
          <w:p>
            <w:pPr>
              <w:pStyle w:val="18"/>
              <w:spacing w:before="1"/>
              <w:ind w:left="121" w:right="116"/>
              <w:rPr>
                <w:sz w:val="24"/>
              </w:rPr>
            </w:pPr>
            <w:r>
              <w:rPr>
                <w:sz w:val="24"/>
              </w:rPr>
              <w:t>标段序号</w:t>
            </w:r>
          </w:p>
        </w:tc>
        <w:tc>
          <w:tcPr>
            <w:tcW w:w="2127" w:type="dxa"/>
          </w:tcPr>
          <w:p>
            <w:pPr>
              <w:pStyle w:val="18"/>
              <w:spacing w:before="9"/>
              <w:jc w:val="left"/>
              <w:rPr>
                <w:sz w:val="26"/>
              </w:rPr>
            </w:pPr>
          </w:p>
          <w:p>
            <w:pPr>
              <w:pStyle w:val="18"/>
              <w:spacing w:before="1"/>
              <w:ind w:left="583"/>
              <w:jc w:val="left"/>
              <w:rPr>
                <w:sz w:val="24"/>
              </w:rPr>
            </w:pPr>
            <w:r>
              <w:rPr>
                <w:sz w:val="24"/>
              </w:rPr>
              <w:t>标段内容</w:t>
            </w:r>
          </w:p>
        </w:tc>
        <w:tc>
          <w:tcPr>
            <w:tcW w:w="1133" w:type="dxa"/>
          </w:tcPr>
          <w:p>
            <w:pPr>
              <w:pStyle w:val="18"/>
              <w:spacing w:before="110"/>
              <w:ind w:left="64" w:right="59"/>
              <w:rPr>
                <w:rFonts w:hint="eastAsia"/>
                <w:sz w:val="24"/>
                <w:lang w:eastAsia="zh-CN"/>
              </w:rPr>
            </w:pPr>
            <w:r>
              <w:rPr>
                <w:rFonts w:hint="eastAsia"/>
                <w:sz w:val="24"/>
                <w:lang w:eastAsia="zh-CN"/>
              </w:rPr>
              <w:t>评标方式</w:t>
            </w:r>
          </w:p>
        </w:tc>
        <w:tc>
          <w:tcPr>
            <w:tcW w:w="3404" w:type="dxa"/>
          </w:tcPr>
          <w:p>
            <w:pPr>
              <w:pStyle w:val="18"/>
              <w:spacing w:before="110"/>
              <w:ind w:left="1102"/>
              <w:jc w:val="left"/>
              <w:rPr>
                <w:sz w:val="24"/>
              </w:rPr>
            </w:pPr>
            <w:r>
              <w:rPr>
                <w:sz w:val="24"/>
              </w:rPr>
              <w:t>投标人资质</w:t>
            </w:r>
          </w:p>
          <w:p>
            <w:pPr>
              <w:pStyle w:val="18"/>
              <w:spacing w:before="160"/>
              <w:ind w:left="1102"/>
              <w:jc w:val="left"/>
              <w:rPr>
                <w:sz w:val="24"/>
              </w:rPr>
            </w:pPr>
            <w:r>
              <w:rPr>
                <w:sz w:val="24"/>
              </w:rPr>
              <w:t>类别、等级</w:t>
            </w:r>
          </w:p>
        </w:tc>
        <w:tc>
          <w:tcPr>
            <w:tcW w:w="1497" w:type="dxa"/>
          </w:tcPr>
          <w:p>
            <w:pPr>
              <w:pStyle w:val="18"/>
              <w:spacing w:before="110"/>
              <w:ind w:left="148"/>
              <w:jc w:val="left"/>
              <w:rPr>
                <w:rFonts w:hint="eastAsia"/>
                <w:sz w:val="24"/>
                <w:lang w:eastAsia="zh-CN"/>
              </w:rPr>
            </w:pPr>
            <w:r>
              <w:rPr>
                <w:rFonts w:hint="eastAsia"/>
                <w:sz w:val="24"/>
                <w:lang w:eastAsia="zh-CN"/>
              </w:rPr>
              <w:t>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2" w:hRule="atLeast"/>
        </w:trPr>
        <w:tc>
          <w:tcPr>
            <w:tcW w:w="1248" w:type="dxa"/>
          </w:tcPr>
          <w:p>
            <w:pPr>
              <w:pStyle w:val="18"/>
              <w:spacing w:before="0"/>
              <w:jc w:val="left"/>
              <w:rPr>
                <w:sz w:val="24"/>
              </w:rPr>
            </w:pPr>
          </w:p>
          <w:p>
            <w:pPr>
              <w:pStyle w:val="18"/>
              <w:spacing w:before="0"/>
              <w:jc w:val="left"/>
              <w:rPr>
                <w:sz w:val="24"/>
              </w:rPr>
            </w:pPr>
          </w:p>
          <w:p>
            <w:pPr>
              <w:pStyle w:val="18"/>
              <w:spacing w:before="196"/>
              <w:ind w:left="121" w:right="116"/>
              <w:rPr>
                <w:sz w:val="24"/>
              </w:rPr>
            </w:pPr>
            <w:r>
              <w:rPr>
                <w:sz w:val="24"/>
              </w:rPr>
              <w:t>001</w:t>
            </w:r>
          </w:p>
        </w:tc>
        <w:tc>
          <w:tcPr>
            <w:tcW w:w="2127" w:type="dxa"/>
          </w:tcPr>
          <w:p>
            <w:pPr>
              <w:pStyle w:val="18"/>
              <w:spacing w:before="9"/>
              <w:jc w:val="left"/>
              <w:rPr>
                <w:sz w:val="26"/>
              </w:rPr>
            </w:pPr>
          </w:p>
          <w:p>
            <w:pPr>
              <w:pStyle w:val="18"/>
              <w:spacing w:before="1" w:line="364" w:lineRule="auto"/>
              <w:ind w:left="103" w:right="92" w:hanging="1"/>
              <w:rPr>
                <w:sz w:val="24"/>
              </w:rPr>
            </w:pPr>
            <w:r>
              <w:rPr>
                <w:rFonts w:hint="eastAsia"/>
                <w:b/>
                <w:spacing w:val="6"/>
                <w:sz w:val="24"/>
                <w:u w:val="single"/>
              </w:rPr>
              <w:t>佛山市顺德区九如城老人护理服务有限公司</w:t>
            </w:r>
          </w:p>
        </w:tc>
        <w:tc>
          <w:tcPr>
            <w:tcW w:w="1133" w:type="dxa"/>
          </w:tcPr>
          <w:p>
            <w:pPr>
              <w:pStyle w:val="18"/>
              <w:spacing w:before="0"/>
              <w:jc w:val="left"/>
              <w:rPr>
                <w:sz w:val="26"/>
              </w:rPr>
            </w:pPr>
          </w:p>
          <w:p>
            <w:pPr>
              <w:pStyle w:val="18"/>
              <w:spacing w:before="4"/>
              <w:jc w:val="left"/>
              <w:rPr>
                <w:sz w:val="38"/>
              </w:rPr>
            </w:pPr>
          </w:p>
          <w:p>
            <w:pPr>
              <w:pStyle w:val="18"/>
              <w:spacing w:before="0"/>
              <w:ind w:left="64" w:right="59"/>
              <w:rPr>
                <w:rFonts w:ascii="Times New Roman"/>
                <w:sz w:val="24"/>
              </w:rPr>
            </w:pPr>
            <w:r>
              <w:rPr>
                <w:rFonts w:hint="eastAsia" w:ascii="Times New Roman"/>
                <w:sz w:val="24"/>
                <w:u w:val="single"/>
                <w:lang w:val="en-US" w:eastAsia="zh-CN"/>
              </w:rPr>
              <w:t>最低价中标</w:t>
            </w:r>
          </w:p>
        </w:tc>
        <w:tc>
          <w:tcPr>
            <w:tcW w:w="3404" w:type="dxa"/>
          </w:tcPr>
          <w:p>
            <w:pPr>
              <w:pStyle w:val="18"/>
              <w:spacing w:before="110" w:line="364" w:lineRule="auto"/>
              <w:ind w:left="31" w:right="17" w:hanging="3"/>
              <w:rPr>
                <w:sz w:val="24"/>
              </w:rPr>
            </w:pPr>
            <w:r>
              <w:rPr>
                <w:sz w:val="24"/>
              </w:rPr>
              <w:t>建筑装修装饰工程专业承包二</w:t>
            </w:r>
            <w:r>
              <w:rPr>
                <w:spacing w:val="-10"/>
                <w:sz w:val="24"/>
              </w:rPr>
              <w:t>级</w:t>
            </w:r>
            <w:r>
              <w:rPr>
                <w:sz w:val="24"/>
              </w:rPr>
              <w:t>（及以上</w:t>
            </w:r>
            <w:r>
              <w:rPr>
                <w:spacing w:val="-10"/>
                <w:sz w:val="24"/>
              </w:rPr>
              <w:t>）</w:t>
            </w:r>
            <w:r>
              <w:rPr>
                <w:spacing w:val="-2"/>
                <w:sz w:val="24"/>
              </w:rPr>
              <w:t>或建筑装饰装修工程设计与施工一体化二级</w:t>
            </w:r>
            <w:r>
              <w:rPr>
                <w:sz w:val="24"/>
              </w:rPr>
              <w:t>（</w:t>
            </w:r>
            <w:r>
              <w:rPr>
                <w:spacing w:val="-9"/>
                <w:sz w:val="24"/>
              </w:rPr>
              <w:t>及以</w:t>
            </w:r>
          </w:p>
          <w:p>
            <w:pPr>
              <w:pStyle w:val="18"/>
              <w:spacing w:before="2"/>
              <w:ind w:left="1202" w:right="1192"/>
              <w:rPr>
                <w:sz w:val="24"/>
              </w:rPr>
            </w:pPr>
            <w:r>
              <w:rPr>
                <w:sz w:val="24"/>
              </w:rPr>
              <w:t>上）资质</w:t>
            </w:r>
          </w:p>
        </w:tc>
        <w:tc>
          <w:tcPr>
            <w:tcW w:w="1497" w:type="dxa"/>
          </w:tcPr>
          <w:p>
            <w:pPr>
              <w:pStyle w:val="18"/>
              <w:spacing w:before="0"/>
              <w:jc w:val="left"/>
              <w:rPr>
                <w:sz w:val="24"/>
              </w:rPr>
            </w:pPr>
          </w:p>
          <w:p>
            <w:pPr>
              <w:pStyle w:val="18"/>
              <w:spacing w:before="1"/>
              <w:jc w:val="left"/>
              <w:rPr>
                <w:sz w:val="21"/>
              </w:rPr>
            </w:pPr>
          </w:p>
          <w:p>
            <w:pPr>
              <w:pStyle w:val="18"/>
              <w:spacing w:before="0"/>
              <w:ind w:left="11"/>
              <w:rPr>
                <w:rFonts w:hint="eastAsia"/>
                <w:sz w:val="24"/>
                <w:lang w:eastAsia="zh-CN"/>
              </w:rPr>
            </w:pPr>
            <w:r>
              <w:rPr>
                <w:rFonts w:hint="eastAsia"/>
                <w:sz w:val="24"/>
                <w:lang w:eastAsia="zh-CN"/>
              </w:rPr>
              <w:t>15天</w:t>
            </w:r>
          </w:p>
        </w:tc>
      </w:tr>
    </w:tbl>
    <w:p>
      <w:pPr>
        <w:rPr>
          <w:sz w:val="24"/>
        </w:rPr>
        <w:sectPr>
          <w:pgSz w:w="11910" w:h="16840"/>
          <w:pgMar w:top="873" w:right="1120" w:bottom="278" w:left="1140" w:header="720" w:footer="720" w:gutter="0"/>
          <w:cols w:space="0" w:num="1"/>
          <w:rtlGutter w:val="0"/>
          <w:docGrid w:linePitch="0" w:charSpace="0"/>
        </w:sectPr>
      </w:pPr>
    </w:p>
    <w:p>
      <w:pPr>
        <w:pStyle w:val="17"/>
        <w:numPr>
          <w:ilvl w:val="0"/>
          <w:numId w:val="1"/>
        </w:numPr>
        <w:tabs>
          <w:tab w:val="left" w:pos="1381"/>
        </w:tabs>
        <w:spacing w:before="61"/>
        <w:ind w:hanging="241"/>
        <w:rPr>
          <w:sz w:val="24"/>
        </w:rPr>
      </w:pPr>
      <w:r>
        <w:rPr>
          <w:rFonts w:ascii="Times New Roman" w:eastAsia="Times New Roman"/>
          <w:sz w:val="24"/>
        </w:rPr>
        <w:t xml:space="preserve">1 </w:t>
      </w:r>
      <w:r>
        <w:rPr>
          <w:sz w:val="24"/>
        </w:rPr>
        <w:t>每家投标单位只能参与上述标段中的</w:t>
      </w:r>
      <w:r>
        <w:rPr>
          <w:sz w:val="24"/>
          <w:u w:val="single"/>
        </w:rPr>
        <w:t xml:space="preserve"> 1</w:t>
      </w:r>
      <w:r>
        <w:rPr>
          <w:rFonts w:hint="eastAsia"/>
          <w:sz w:val="24"/>
          <w:u w:val="single"/>
          <w:lang w:val="en-US" w:eastAsia="zh-CN"/>
        </w:rPr>
        <w:t xml:space="preserve"> </w:t>
      </w:r>
      <w:r>
        <w:rPr>
          <w:sz w:val="24"/>
        </w:rPr>
        <w:t xml:space="preserve"> 个标段的投标。</w:t>
      </w:r>
    </w:p>
    <w:p>
      <w:pPr>
        <w:pStyle w:val="17"/>
        <w:numPr>
          <w:ilvl w:val="1"/>
          <w:numId w:val="1"/>
        </w:numPr>
        <w:tabs>
          <w:tab w:val="left" w:pos="1501"/>
        </w:tabs>
        <w:spacing w:before="160"/>
        <w:ind w:hanging="361"/>
        <w:rPr>
          <w:sz w:val="24"/>
        </w:rPr>
      </w:pPr>
      <w:r>
        <w:rPr>
          <w:sz w:val="24"/>
        </w:rPr>
        <w:t>本次招标</w:t>
      </w:r>
      <w:r>
        <w:rPr>
          <w:b/>
          <w:sz w:val="24"/>
          <w:u w:val="single"/>
        </w:rPr>
        <w:t>不接受</w:t>
      </w:r>
      <w:r>
        <w:rPr>
          <w:rFonts w:ascii="Times New Roman" w:eastAsia="Times New Roman"/>
          <w:sz w:val="24"/>
        </w:rPr>
        <w:t>(</w:t>
      </w:r>
      <w:r>
        <w:rPr>
          <w:sz w:val="24"/>
        </w:rPr>
        <w:t>接受或不接受</w:t>
      </w:r>
      <w:r>
        <w:rPr>
          <w:rFonts w:ascii="Times New Roman" w:eastAsia="Times New Roman"/>
          <w:sz w:val="24"/>
        </w:rPr>
        <w:t>)</w:t>
      </w:r>
      <w:r>
        <w:rPr>
          <w:sz w:val="24"/>
        </w:rPr>
        <w:t>联合体投标。</w:t>
      </w:r>
    </w:p>
    <w:p>
      <w:pPr>
        <w:pStyle w:val="17"/>
        <w:numPr>
          <w:ilvl w:val="1"/>
          <w:numId w:val="1"/>
        </w:numPr>
        <w:tabs>
          <w:tab w:val="left" w:pos="1530"/>
        </w:tabs>
        <w:spacing w:before="161" w:line="364" w:lineRule="auto"/>
        <w:ind w:left="660" w:right="676" w:firstLine="479"/>
        <w:rPr>
          <w:sz w:val="24"/>
        </w:rPr>
      </w:pPr>
      <w:r>
        <w:rPr>
          <w:spacing w:val="-3"/>
          <w:sz w:val="24"/>
        </w:rPr>
        <w:t>报名其他条件：</w:t>
      </w:r>
      <w:r>
        <w:rPr>
          <w:rFonts w:hint="eastAsia"/>
          <w:spacing w:val="-3"/>
          <w:sz w:val="24"/>
        </w:rPr>
        <w:t>投标人需为广东省内注册公司</w:t>
      </w:r>
      <w:r>
        <w:rPr>
          <w:sz w:val="24"/>
        </w:rPr>
        <w:t>。</w:t>
      </w:r>
    </w:p>
    <w:p>
      <w:pPr>
        <w:pStyle w:val="7"/>
        <w:rPr>
          <w:sz w:val="24"/>
        </w:rPr>
      </w:pPr>
    </w:p>
    <w:p>
      <w:pPr>
        <w:pStyle w:val="7"/>
        <w:rPr>
          <w:sz w:val="24"/>
        </w:rPr>
      </w:pPr>
    </w:p>
    <w:p>
      <w:pPr>
        <w:pStyle w:val="7"/>
        <w:spacing w:before="2"/>
        <w:rPr>
          <w:sz w:val="25"/>
        </w:rPr>
      </w:pPr>
    </w:p>
    <w:p>
      <w:pPr>
        <w:ind w:left="660"/>
        <w:rPr>
          <w:b/>
          <w:sz w:val="24"/>
        </w:rPr>
      </w:pPr>
      <w:r>
        <w:rPr>
          <w:b/>
          <w:sz w:val="24"/>
        </w:rPr>
        <w:t>四、招标文件的获取</w:t>
      </w:r>
    </w:p>
    <w:p>
      <w:pPr>
        <w:tabs>
          <w:tab w:val="left" w:pos="1140"/>
          <w:tab w:val="left" w:pos="5048"/>
          <w:tab w:val="left" w:pos="5910"/>
        </w:tabs>
        <w:spacing w:before="161" w:line="364" w:lineRule="auto"/>
        <w:ind w:left="660" w:right="671" w:firstLine="479"/>
        <w:rPr>
          <w:sz w:val="24"/>
        </w:rPr>
      </w:pPr>
      <w:r>
        <w:rPr>
          <w:spacing w:val="4"/>
          <w:sz w:val="24"/>
        </w:rPr>
        <w:t>凡有意参加</w:t>
      </w:r>
      <w:r>
        <w:rPr>
          <w:sz w:val="24"/>
        </w:rPr>
        <w:t>投</w:t>
      </w:r>
      <w:r>
        <w:rPr>
          <w:spacing w:val="4"/>
          <w:sz w:val="24"/>
        </w:rPr>
        <w:t>标者，</w:t>
      </w:r>
      <w:r>
        <w:rPr>
          <w:sz w:val="24"/>
        </w:rPr>
        <w:t>可</w:t>
      </w:r>
      <w:r>
        <w:rPr>
          <w:spacing w:val="3"/>
          <w:sz w:val="24"/>
        </w:rPr>
        <w:t xml:space="preserve"> </w:t>
      </w:r>
      <w:r>
        <w:rPr>
          <w:b/>
          <w:sz w:val="24"/>
          <w:u w:val="single"/>
        </w:rPr>
        <w:t>20</w:t>
      </w:r>
      <w:r>
        <w:rPr>
          <w:rFonts w:hint="eastAsia"/>
          <w:b/>
          <w:sz w:val="24"/>
          <w:u w:val="single"/>
          <w:lang w:val="en-US" w:eastAsia="zh-CN"/>
        </w:rPr>
        <w:t>20</w:t>
      </w:r>
      <w:r>
        <w:rPr>
          <w:b/>
          <w:sz w:val="24"/>
          <w:u w:val="single"/>
        </w:rPr>
        <w:t>年</w:t>
      </w:r>
      <w:r>
        <w:rPr>
          <w:b/>
          <w:spacing w:val="2"/>
          <w:sz w:val="24"/>
          <w:u w:val="single"/>
        </w:rPr>
        <w:t xml:space="preserve"> </w:t>
      </w:r>
      <w:r>
        <w:rPr>
          <w:rFonts w:hint="eastAsia"/>
          <w:b/>
          <w:sz w:val="24"/>
          <w:u w:val="single"/>
          <w:lang w:val="en-US" w:eastAsia="zh-CN"/>
        </w:rPr>
        <w:t>2</w:t>
      </w:r>
      <w:r>
        <w:rPr>
          <w:b/>
          <w:sz w:val="24"/>
          <w:u w:val="single"/>
        </w:rPr>
        <w:t>月</w:t>
      </w:r>
      <w:r>
        <w:rPr>
          <w:b/>
          <w:spacing w:val="9"/>
          <w:sz w:val="24"/>
          <w:u w:val="single"/>
        </w:rPr>
        <w:t xml:space="preserve"> </w:t>
      </w:r>
      <w:r>
        <w:rPr>
          <w:rFonts w:hint="eastAsia"/>
          <w:b/>
          <w:sz w:val="24"/>
          <w:u w:val="single"/>
          <w:lang w:val="en-US" w:eastAsia="zh-CN"/>
        </w:rPr>
        <w:t xml:space="preserve">28 </w:t>
      </w:r>
      <w:r>
        <w:rPr>
          <w:b/>
          <w:spacing w:val="7"/>
          <w:sz w:val="24"/>
          <w:u w:val="single"/>
        </w:rPr>
        <w:t>日</w:t>
      </w:r>
      <w:r>
        <w:rPr>
          <w:sz w:val="24"/>
        </w:rPr>
        <w:t>至</w:t>
      </w:r>
      <w:r>
        <w:rPr>
          <w:spacing w:val="1"/>
          <w:sz w:val="24"/>
        </w:rPr>
        <w:t xml:space="preserve"> </w:t>
      </w:r>
      <w:r>
        <w:rPr>
          <w:b/>
          <w:sz w:val="24"/>
          <w:u w:val="single"/>
        </w:rPr>
        <w:t>20</w:t>
      </w:r>
      <w:r>
        <w:rPr>
          <w:rFonts w:hint="eastAsia"/>
          <w:b/>
          <w:sz w:val="24"/>
          <w:u w:val="single"/>
          <w:lang w:val="en-US" w:eastAsia="zh-CN"/>
        </w:rPr>
        <w:t>20</w:t>
      </w:r>
      <w:r>
        <w:rPr>
          <w:b/>
          <w:spacing w:val="5"/>
          <w:sz w:val="24"/>
          <w:u w:val="single"/>
        </w:rPr>
        <w:t xml:space="preserve"> </w:t>
      </w:r>
      <w:r>
        <w:rPr>
          <w:b/>
          <w:sz w:val="24"/>
          <w:u w:val="single"/>
        </w:rPr>
        <w:t>年</w:t>
      </w:r>
      <w:r>
        <w:rPr>
          <w:b/>
          <w:spacing w:val="7"/>
          <w:sz w:val="24"/>
          <w:u w:val="single"/>
        </w:rPr>
        <w:t xml:space="preserve"> </w:t>
      </w:r>
      <w:r>
        <w:rPr>
          <w:rFonts w:hint="eastAsia"/>
          <w:b/>
          <w:sz w:val="24"/>
          <w:u w:val="single"/>
          <w:lang w:val="en-US" w:eastAsia="zh-CN"/>
        </w:rPr>
        <w:t>3</w:t>
      </w:r>
      <w:r>
        <w:rPr>
          <w:b/>
          <w:sz w:val="24"/>
          <w:u w:val="single"/>
        </w:rPr>
        <w:t>月</w:t>
      </w:r>
      <w:r>
        <w:rPr>
          <w:rFonts w:hint="eastAsia"/>
          <w:b/>
          <w:sz w:val="24"/>
          <w:u w:val="single"/>
          <w:lang w:val="en-US" w:eastAsia="zh-CN"/>
        </w:rPr>
        <w:t xml:space="preserve"> 4 </w:t>
      </w:r>
      <w:r>
        <w:rPr>
          <w:b/>
          <w:spacing w:val="7"/>
          <w:sz w:val="24"/>
          <w:u w:val="single"/>
        </w:rPr>
        <w:t>日</w:t>
      </w:r>
      <w:r>
        <w:rPr>
          <w:spacing w:val="-17"/>
          <w:sz w:val="24"/>
        </w:rPr>
        <w:t>登</w:t>
      </w:r>
      <w:r>
        <w:rPr>
          <w:sz w:val="24"/>
        </w:rPr>
        <w:t>陆</w:t>
      </w:r>
      <w:r>
        <w:rPr>
          <w:sz w:val="24"/>
        </w:rPr>
        <w:tab/>
      </w:r>
      <w:r>
        <w:rPr>
          <w:sz w:val="24"/>
        </w:rPr>
        <w:t>“</w:t>
      </w:r>
      <w:r>
        <w:rPr>
          <w:rFonts w:hint="eastAsia"/>
          <w:sz w:val="24"/>
        </w:rPr>
        <w:t>广东招标网（</w:t>
      </w:r>
      <w:r>
        <w:fldChar w:fldCharType="begin"/>
      </w:r>
      <w:r>
        <w:instrText xml:space="preserve"> HYPERLINK "https://www.bibenet.com/guangdong" </w:instrText>
      </w:r>
      <w:r>
        <w:fldChar w:fldCharType="separate"/>
      </w:r>
      <w:r>
        <w:rPr>
          <w:rStyle w:val="10"/>
          <w:sz w:val="24"/>
        </w:rPr>
        <w:t>https://www.bibenet.com/guangdong</w:t>
      </w:r>
      <w:r>
        <w:rPr>
          <w:rStyle w:val="10"/>
          <w:sz w:val="24"/>
        </w:rPr>
        <w:fldChar w:fldCharType="end"/>
      </w:r>
      <w:r>
        <w:rPr>
          <w:sz w:val="24"/>
        </w:rPr>
        <w:t>）”“投标单位登录”栏目获取本项目招标文件。</w:t>
      </w:r>
    </w:p>
    <w:p>
      <w:pPr>
        <w:pStyle w:val="4"/>
        <w:spacing w:before="1"/>
        <w:ind w:left="1140"/>
      </w:pPr>
      <w:r>
        <w:t>招标文件每套售价</w:t>
      </w:r>
      <w:r>
        <w:rPr>
          <w:u w:val="single"/>
        </w:rPr>
        <w:t xml:space="preserve"> </w:t>
      </w:r>
      <w:r>
        <w:rPr>
          <w:b/>
          <w:u w:val="single"/>
        </w:rPr>
        <w:t xml:space="preserve">300 </w:t>
      </w:r>
      <w:r>
        <w:rPr>
          <w:u w:val="single"/>
        </w:rPr>
        <w:t>元/标段</w:t>
      </w:r>
      <w:r>
        <w:t>，售后不退。</w:t>
      </w:r>
      <w:r>
        <w:rPr>
          <w:rFonts w:hint="eastAsia"/>
          <w:lang w:val="en-US" w:eastAsia="zh-CN"/>
        </w:rPr>
        <w:t>如需考察，请</w:t>
      </w:r>
      <w:r>
        <w:rPr>
          <w:rFonts w:hint="eastAsia"/>
          <w:spacing w:val="-3"/>
        </w:rPr>
        <w:t>联系</w:t>
      </w:r>
      <w:r>
        <w:rPr>
          <w:rFonts w:hint="eastAsia"/>
          <w:spacing w:val="-3"/>
          <w:lang w:val="en-US" w:eastAsia="zh-CN"/>
        </w:rPr>
        <w:t>本公司工程部负责</w:t>
      </w:r>
      <w:r>
        <w:rPr>
          <w:rFonts w:hint="eastAsia"/>
          <w:spacing w:val="-3"/>
        </w:rPr>
        <w:t>人：王</w:t>
      </w:r>
      <w:r>
        <w:rPr>
          <w:rFonts w:hint="eastAsia"/>
          <w:spacing w:val="-3"/>
          <w:lang w:eastAsia="zh-CN"/>
        </w:rPr>
        <w:t>生</w:t>
      </w:r>
      <w:r>
        <w:rPr>
          <w:rFonts w:hint="eastAsia"/>
          <w:spacing w:val="-3"/>
        </w:rPr>
        <w:t xml:space="preserve"> 17712775555 吕</w:t>
      </w:r>
      <w:r>
        <w:rPr>
          <w:rFonts w:hint="eastAsia"/>
          <w:spacing w:val="-3"/>
          <w:lang w:eastAsia="zh-CN"/>
        </w:rPr>
        <w:t>生</w:t>
      </w:r>
      <w:r>
        <w:rPr>
          <w:rFonts w:hint="eastAsia"/>
          <w:spacing w:val="-3"/>
        </w:rPr>
        <w:t>13726942347（因现场拆建过于复杂，请投标单位到根据图纸现场进行考察，制定</w:t>
      </w:r>
      <w:r>
        <w:rPr>
          <w:rFonts w:hint="eastAsia"/>
          <w:spacing w:val="-3"/>
          <w:lang w:val="en-US" w:eastAsia="zh-CN"/>
        </w:rPr>
        <w:t>及复核清单</w:t>
      </w:r>
      <w:r>
        <w:rPr>
          <w:rFonts w:hint="eastAsia"/>
          <w:spacing w:val="-3"/>
        </w:rPr>
        <w:t>合理报价）</w:t>
      </w:r>
    </w:p>
    <w:p>
      <w:pPr>
        <w:pStyle w:val="7"/>
        <w:rPr>
          <w:sz w:val="24"/>
          <w:szCs w:val="24"/>
        </w:rPr>
      </w:pPr>
    </w:p>
    <w:p>
      <w:pPr>
        <w:pStyle w:val="7"/>
        <w:rPr>
          <w:sz w:val="24"/>
          <w:szCs w:val="24"/>
        </w:rPr>
      </w:pPr>
    </w:p>
    <w:p>
      <w:pPr>
        <w:pStyle w:val="7"/>
        <w:rPr>
          <w:sz w:val="24"/>
        </w:rPr>
      </w:pPr>
    </w:p>
    <w:p>
      <w:pPr>
        <w:spacing w:before="174"/>
        <w:ind w:left="660"/>
        <w:rPr>
          <w:b/>
          <w:sz w:val="24"/>
        </w:rPr>
      </w:pPr>
      <w:r>
        <w:rPr>
          <w:b/>
          <w:sz w:val="24"/>
        </w:rPr>
        <w:t>五、公告发布</w:t>
      </w:r>
    </w:p>
    <w:p>
      <w:pPr>
        <w:keepNext w:val="0"/>
        <w:keepLines w:val="0"/>
        <w:pageBreakBefore w:val="0"/>
        <w:widowControl w:val="0"/>
        <w:tabs>
          <w:tab w:val="left" w:pos="5293"/>
          <w:tab w:val="left" w:pos="7102"/>
          <w:tab w:val="left" w:pos="7948"/>
        </w:tabs>
        <w:kinsoku/>
        <w:wordWrap/>
        <w:overflowPunct/>
        <w:topLinePunct w:val="0"/>
        <w:autoSpaceDE w:val="0"/>
        <w:autoSpaceDN w:val="0"/>
        <w:bidi w:val="0"/>
        <w:adjustRightInd/>
        <w:snapToGrid/>
        <w:spacing w:before="161" w:line="365" w:lineRule="auto"/>
        <w:ind w:left="1134" w:right="1134"/>
        <w:textAlignment w:val="auto"/>
        <w:rPr>
          <w:b/>
          <w:sz w:val="24"/>
          <w:u w:val="single"/>
        </w:rPr>
      </w:pPr>
      <w:r>
        <w:rPr>
          <w:sz w:val="24"/>
        </w:rPr>
        <w:t>本公告发布媒体为：</w:t>
      </w:r>
      <w:r>
        <w:rPr>
          <w:rFonts w:hint="eastAsia"/>
          <w:sz w:val="24"/>
        </w:rPr>
        <w:t>广东招标网（</w:t>
      </w:r>
      <w:r>
        <w:fldChar w:fldCharType="begin"/>
      </w:r>
      <w:r>
        <w:instrText xml:space="preserve"> HYPERLINK "https://www.bibenet.com/guangdong" </w:instrText>
      </w:r>
      <w:r>
        <w:fldChar w:fldCharType="separate"/>
      </w:r>
      <w:r>
        <w:rPr>
          <w:rStyle w:val="10"/>
          <w:sz w:val="24"/>
        </w:rPr>
        <w:t>https://www.bibenet.com/guangdong</w:t>
      </w:r>
      <w:r>
        <w:rPr>
          <w:rStyle w:val="10"/>
          <w:sz w:val="24"/>
        </w:rPr>
        <w:fldChar w:fldCharType="end"/>
      </w:r>
      <w:r>
        <w:rPr>
          <w:rStyle w:val="10"/>
          <w:rFonts w:hint="eastAsia"/>
          <w:sz w:val="24"/>
          <w:lang w:eastAsia="zh-CN"/>
        </w:rPr>
        <w:t>)</w:t>
      </w:r>
      <w:r>
        <w:rPr>
          <w:sz w:val="24"/>
        </w:rPr>
        <w:t>公告发布时间为：</w:t>
      </w:r>
      <w:r>
        <w:rPr>
          <w:b/>
          <w:sz w:val="24"/>
          <w:u w:val="single"/>
        </w:rPr>
        <w:t>20</w:t>
      </w:r>
      <w:r>
        <w:rPr>
          <w:rFonts w:hint="eastAsia"/>
          <w:b/>
          <w:sz w:val="24"/>
          <w:u w:val="single"/>
          <w:lang w:val="en-US" w:eastAsia="zh-CN"/>
        </w:rPr>
        <w:t>20</w:t>
      </w:r>
      <w:r>
        <w:rPr>
          <w:b/>
          <w:sz w:val="24"/>
          <w:u w:val="single"/>
        </w:rPr>
        <w:t xml:space="preserve">年 </w:t>
      </w:r>
      <w:r>
        <w:rPr>
          <w:rFonts w:hint="eastAsia"/>
          <w:b/>
          <w:sz w:val="24"/>
          <w:u w:val="single"/>
          <w:lang w:val="en-US" w:eastAsia="zh-CN"/>
        </w:rPr>
        <w:t>2</w:t>
      </w:r>
      <w:r>
        <w:rPr>
          <w:b/>
          <w:sz w:val="24"/>
          <w:u w:val="single"/>
        </w:rPr>
        <w:t xml:space="preserve">月 </w:t>
      </w:r>
      <w:r>
        <w:rPr>
          <w:rFonts w:hint="eastAsia"/>
          <w:b/>
          <w:sz w:val="24"/>
          <w:u w:val="single"/>
          <w:lang w:val="en-US" w:eastAsia="zh-CN"/>
        </w:rPr>
        <w:t>28</w:t>
      </w:r>
      <w:r>
        <w:rPr>
          <w:b/>
          <w:sz w:val="24"/>
          <w:u w:val="single"/>
        </w:rPr>
        <w:t>日</w:t>
      </w:r>
      <w:r>
        <w:rPr>
          <w:sz w:val="24"/>
        </w:rPr>
        <w:t>至</w:t>
      </w:r>
      <w:r>
        <w:rPr>
          <w:spacing w:val="-60"/>
          <w:sz w:val="24"/>
        </w:rPr>
        <w:t xml:space="preserve"> </w:t>
      </w:r>
      <w:r>
        <w:rPr>
          <w:b/>
          <w:sz w:val="24"/>
          <w:u w:val="single"/>
        </w:rPr>
        <w:t>20</w:t>
      </w:r>
      <w:r>
        <w:rPr>
          <w:rFonts w:hint="eastAsia"/>
          <w:b/>
          <w:sz w:val="24"/>
          <w:u w:val="single"/>
          <w:lang w:val="en-US" w:eastAsia="zh-CN"/>
        </w:rPr>
        <w:t>20</w:t>
      </w:r>
      <w:r>
        <w:rPr>
          <w:b/>
          <w:sz w:val="24"/>
          <w:u w:val="single"/>
        </w:rPr>
        <w:t>年</w:t>
      </w:r>
      <w:r>
        <w:rPr>
          <w:rFonts w:hint="eastAsia"/>
          <w:b/>
          <w:spacing w:val="-1"/>
          <w:sz w:val="24"/>
          <w:u w:val="single"/>
          <w:lang w:val="en-US" w:eastAsia="zh-CN"/>
        </w:rPr>
        <w:t>3</w:t>
      </w:r>
      <w:r>
        <w:rPr>
          <w:b/>
          <w:sz w:val="24"/>
          <w:u w:val="single"/>
        </w:rPr>
        <w:t>月</w:t>
      </w:r>
      <w:r>
        <w:rPr>
          <w:b/>
          <w:spacing w:val="-1"/>
          <w:sz w:val="24"/>
          <w:u w:val="single"/>
        </w:rPr>
        <w:t xml:space="preserve"> </w:t>
      </w:r>
      <w:r>
        <w:rPr>
          <w:rFonts w:hint="eastAsia"/>
          <w:b/>
          <w:spacing w:val="-1"/>
          <w:sz w:val="24"/>
          <w:u w:val="single"/>
          <w:lang w:val="en-US" w:eastAsia="zh-CN"/>
        </w:rPr>
        <w:t>4</w:t>
      </w:r>
      <w:bookmarkStart w:id="0" w:name="_GoBack"/>
      <w:bookmarkEnd w:id="0"/>
      <w:r>
        <w:rPr>
          <w:b/>
          <w:sz w:val="24"/>
          <w:u w:val="single"/>
        </w:rPr>
        <w:t>日</w:t>
      </w:r>
    </w:p>
    <w:p>
      <w:pPr>
        <w:tabs>
          <w:tab w:val="left" w:pos="5293"/>
          <w:tab w:val="left" w:pos="7102"/>
          <w:tab w:val="left" w:pos="7948"/>
        </w:tabs>
        <w:spacing w:before="161" w:line="364" w:lineRule="auto"/>
        <w:ind w:left="1140" w:right="1043"/>
        <w:rPr>
          <w:rFonts w:hint="default" w:eastAsia="宋体"/>
          <w:b/>
          <w:sz w:val="24"/>
          <w:u w:val="single"/>
          <w:lang w:val="en-US" w:eastAsia="zh-CN"/>
        </w:rPr>
      </w:pPr>
      <w:r>
        <w:rPr>
          <w:sz w:val="24"/>
        </w:rPr>
        <w:t>本项目</w:t>
      </w:r>
      <w:r>
        <w:rPr>
          <w:rFonts w:hint="eastAsia"/>
          <w:sz w:val="24"/>
          <w:lang w:val="en-US" w:eastAsia="zh-CN"/>
        </w:rPr>
        <w:t>打拆及新建工程统计表附件：</w:t>
      </w:r>
      <w:r>
        <w:rPr>
          <w:b/>
          <w:sz w:val="24"/>
          <w:u w:val="single"/>
        </w:rPr>
        <w:t>见附件</w:t>
      </w:r>
      <w:r>
        <w:rPr>
          <w:rFonts w:hint="eastAsia"/>
          <w:b/>
          <w:sz w:val="24"/>
          <w:u w:val="single"/>
          <w:lang w:val="en-US" w:eastAsia="zh-CN"/>
        </w:rPr>
        <w:t>1</w:t>
      </w:r>
    </w:p>
    <w:p>
      <w:pPr>
        <w:spacing w:before="1" w:line="364" w:lineRule="auto"/>
        <w:ind w:left="1140" w:right="5381"/>
        <w:rPr>
          <w:rFonts w:hint="eastAsia"/>
          <w:b/>
          <w:sz w:val="24"/>
          <w:u w:val="single"/>
          <w:lang w:val="en-US" w:eastAsia="zh-CN"/>
        </w:rPr>
      </w:pPr>
      <w:r>
        <w:rPr>
          <w:sz w:val="24"/>
        </w:rPr>
        <w:t>本项目资格审查办法：</w:t>
      </w:r>
      <w:r>
        <w:rPr>
          <w:b/>
          <w:sz w:val="24"/>
          <w:u w:val="single"/>
        </w:rPr>
        <w:t>见附件</w:t>
      </w:r>
      <w:r>
        <w:rPr>
          <w:rFonts w:hint="eastAsia"/>
          <w:b/>
          <w:sz w:val="24"/>
          <w:u w:val="single"/>
          <w:lang w:val="en-US" w:eastAsia="zh-CN"/>
        </w:rPr>
        <w:t>2</w:t>
      </w:r>
      <w:r>
        <w:rPr>
          <w:sz w:val="24"/>
        </w:rPr>
        <w:t>本项目评标细则</w:t>
      </w:r>
      <w:r>
        <w:rPr>
          <w:sz w:val="21"/>
        </w:rPr>
        <w:t>：</w:t>
      </w:r>
      <w:r>
        <w:rPr>
          <w:b/>
          <w:sz w:val="24"/>
          <w:u w:val="single"/>
        </w:rPr>
        <w:t>见附件</w:t>
      </w:r>
      <w:r>
        <w:rPr>
          <w:rFonts w:hint="eastAsia"/>
          <w:b/>
          <w:sz w:val="24"/>
          <w:u w:val="single"/>
          <w:lang w:val="en-US" w:eastAsia="zh-CN"/>
        </w:rPr>
        <w:t>3</w:t>
      </w:r>
    </w:p>
    <w:p>
      <w:pPr>
        <w:spacing w:before="1" w:line="364" w:lineRule="auto"/>
        <w:ind w:left="1140" w:right="5381"/>
        <w:rPr>
          <w:rFonts w:hint="eastAsia"/>
          <w:b/>
          <w:sz w:val="24"/>
          <w:u w:val="single"/>
          <w:lang w:val="en-US" w:eastAsia="zh-CN"/>
        </w:rPr>
      </w:pPr>
    </w:p>
    <w:p>
      <w:pPr>
        <w:pStyle w:val="3"/>
        <w:spacing w:before="42"/>
        <w:ind w:left="0" w:leftChars="0" w:firstLine="723" w:firstLineChars="300"/>
      </w:pPr>
      <w:r>
        <w:t>六、联系方式</w:t>
      </w:r>
    </w:p>
    <w:p>
      <w:pPr>
        <w:pStyle w:val="4"/>
        <w:keepNext w:val="0"/>
        <w:keepLines w:val="0"/>
        <w:pageBreakBefore w:val="0"/>
        <w:widowControl w:val="0"/>
        <w:tabs>
          <w:tab w:val="left" w:pos="1140"/>
          <w:tab w:val="left" w:pos="3972"/>
        </w:tabs>
        <w:kinsoku/>
        <w:wordWrap/>
        <w:overflowPunct/>
        <w:topLinePunct w:val="0"/>
        <w:autoSpaceDE w:val="0"/>
        <w:autoSpaceDN w:val="0"/>
        <w:bidi w:val="0"/>
        <w:adjustRightInd/>
        <w:snapToGrid/>
        <w:spacing w:before="131" w:line="360" w:lineRule="auto"/>
        <w:ind w:left="1134" w:right="1134"/>
        <w:textAlignment w:val="auto"/>
        <w:rPr>
          <w:rFonts w:hint="eastAsia"/>
        </w:rPr>
      </w:pPr>
      <w:r>
        <w:t>招标人</w:t>
      </w:r>
      <w:r>
        <w:rPr>
          <w:spacing w:val="-49"/>
        </w:rPr>
        <w:t>：</w:t>
      </w:r>
      <w:r>
        <w:rPr>
          <w:rFonts w:hint="eastAsia"/>
          <w:b/>
        </w:rPr>
        <w:t>佛山市顺德区九如城老人护理服务有限公司</w:t>
      </w:r>
      <w:r>
        <w:tab/>
      </w:r>
    </w:p>
    <w:p>
      <w:pPr>
        <w:pStyle w:val="4"/>
        <w:keepNext w:val="0"/>
        <w:keepLines w:val="0"/>
        <w:pageBreakBefore w:val="0"/>
        <w:widowControl w:val="0"/>
        <w:tabs>
          <w:tab w:val="left" w:pos="1140"/>
          <w:tab w:val="left" w:pos="3972"/>
        </w:tabs>
        <w:kinsoku/>
        <w:wordWrap/>
        <w:overflowPunct/>
        <w:topLinePunct w:val="0"/>
        <w:autoSpaceDE w:val="0"/>
        <w:autoSpaceDN w:val="0"/>
        <w:bidi w:val="0"/>
        <w:adjustRightInd/>
        <w:snapToGrid/>
        <w:spacing w:before="131" w:line="360" w:lineRule="auto"/>
        <w:ind w:left="1134" w:right="1134"/>
        <w:textAlignment w:val="auto"/>
        <w:rPr>
          <w:rFonts w:hint="eastAsia" w:ascii="Times New Roman" w:eastAsiaTheme="minorEastAsia"/>
        </w:rPr>
      </w:pPr>
      <w:r>
        <w:rPr>
          <w:rFonts w:hint="eastAsia"/>
        </w:rPr>
        <w:t>地</w:t>
      </w:r>
      <w:r>
        <w:t>址：</w:t>
      </w:r>
      <w:r>
        <w:rPr>
          <w:rFonts w:hint="eastAsia"/>
        </w:rPr>
        <w:t>佛山市顺德区大良金榜居委会新基路96号</w:t>
      </w:r>
      <w:r>
        <w:tab/>
      </w:r>
    </w:p>
    <w:p>
      <w:pPr>
        <w:keepNext w:val="0"/>
        <w:keepLines w:val="0"/>
        <w:pageBreakBefore w:val="0"/>
        <w:widowControl w:val="0"/>
        <w:tabs>
          <w:tab w:val="left" w:pos="1140"/>
          <w:tab w:val="left" w:pos="4620"/>
        </w:tabs>
        <w:kinsoku/>
        <w:wordWrap/>
        <w:overflowPunct/>
        <w:topLinePunct w:val="0"/>
        <w:autoSpaceDE w:val="0"/>
        <w:autoSpaceDN w:val="0"/>
        <w:bidi w:val="0"/>
        <w:adjustRightInd/>
        <w:snapToGrid/>
        <w:spacing w:line="304" w:lineRule="exact"/>
        <w:ind w:left="1134" w:right="1134"/>
        <w:textAlignment w:val="auto"/>
        <w:rPr>
          <w:sz w:val="24"/>
        </w:rPr>
      </w:pPr>
      <w:r>
        <w:rPr>
          <w:sz w:val="24"/>
        </w:rPr>
        <w:t>邮编：</w:t>
      </w:r>
      <w:r>
        <w:rPr>
          <w:sz w:val="24"/>
        </w:rPr>
        <w:tab/>
      </w:r>
    </w:p>
    <w:p>
      <w:pPr>
        <w:keepNext w:val="0"/>
        <w:keepLines w:val="0"/>
        <w:pageBreakBefore w:val="0"/>
        <w:widowControl w:val="0"/>
        <w:tabs>
          <w:tab w:val="left" w:pos="1140"/>
          <w:tab w:val="left" w:pos="1620"/>
          <w:tab w:val="left" w:pos="4772"/>
        </w:tabs>
        <w:kinsoku/>
        <w:wordWrap/>
        <w:overflowPunct/>
        <w:topLinePunct w:val="0"/>
        <w:autoSpaceDE w:val="0"/>
        <w:autoSpaceDN w:val="0"/>
        <w:bidi w:val="0"/>
        <w:adjustRightInd/>
        <w:snapToGrid/>
        <w:spacing w:before="154"/>
        <w:ind w:left="1134" w:right="1134"/>
        <w:textAlignment w:val="auto"/>
        <w:rPr>
          <w:sz w:val="24"/>
        </w:rPr>
      </w:pPr>
      <w:r>
        <w:rPr>
          <w:sz w:val="24"/>
        </w:rPr>
        <w:t>联系人：</w:t>
      </w:r>
      <w:r>
        <w:rPr>
          <w:rFonts w:hint="eastAsia"/>
          <w:sz w:val="24"/>
          <w:lang w:eastAsia="zh-CN"/>
        </w:rPr>
        <w:t>王生，吕生</w:t>
      </w:r>
      <w:r>
        <w:rPr>
          <w:sz w:val="21"/>
        </w:rPr>
        <w:tab/>
      </w:r>
    </w:p>
    <w:p>
      <w:pPr>
        <w:keepNext w:val="0"/>
        <w:keepLines w:val="0"/>
        <w:pageBreakBefore w:val="0"/>
        <w:widowControl w:val="0"/>
        <w:tabs>
          <w:tab w:val="left" w:pos="1140"/>
          <w:tab w:val="left" w:pos="4575"/>
        </w:tabs>
        <w:kinsoku/>
        <w:wordWrap/>
        <w:overflowPunct/>
        <w:topLinePunct w:val="0"/>
        <w:autoSpaceDE w:val="0"/>
        <w:autoSpaceDN w:val="0"/>
        <w:bidi w:val="0"/>
        <w:adjustRightInd/>
        <w:snapToGrid/>
        <w:spacing w:before="153"/>
        <w:ind w:left="1134" w:right="1134"/>
        <w:textAlignment w:val="auto"/>
        <w:rPr>
          <w:sz w:val="24"/>
        </w:rPr>
      </w:pPr>
      <w:r>
        <w:rPr>
          <w:sz w:val="24"/>
        </w:rPr>
        <w:t>电话：</w:t>
      </w:r>
      <w:r>
        <w:rPr>
          <w:sz w:val="21"/>
        </w:rPr>
        <w:t>17712775555、13726942347</w:t>
      </w:r>
      <w:r>
        <w:rPr>
          <w:sz w:val="21"/>
        </w:rPr>
        <w:tab/>
      </w:r>
    </w:p>
    <w:p>
      <w:pPr>
        <w:pStyle w:val="4"/>
        <w:keepNext w:val="0"/>
        <w:keepLines w:val="0"/>
        <w:pageBreakBefore w:val="0"/>
        <w:widowControl w:val="0"/>
        <w:tabs>
          <w:tab w:val="left" w:pos="1140"/>
          <w:tab w:val="left" w:pos="4620"/>
        </w:tabs>
        <w:kinsoku/>
        <w:wordWrap/>
        <w:overflowPunct/>
        <w:topLinePunct w:val="0"/>
        <w:autoSpaceDE w:val="0"/>
        <w:autoSpaceDN w:val="0"/>
        <w:bidi w:val="0"/>
        <w:adjustRightInd/>
        <w:snapToGrid/>
        <w:spacing w:before="151"/>
        <w:ind w:left="1134" w:right="1134"/>
        <w:textAlignment w:val="auto"/>
      </w:pPr>
      <w:r>
        <w:t>传真：</w:t>
      </w:r>
      <w:r>
        <w:tab/>
      </w:r>
    </w:p>
    <w:p>
      <w:pPr>
        <w:keepNext w:val="0"/>
        <w:keepLines w:val="0"/>
        <w:pageBreakBefore w:val="0"/>
        <w:widowControl w:val="0"/>
        <w:tabs>
          <w:tab w:val="left" w:pos="4260"/>
        </w:tabs>
        <w:kinsoku/>
        <w:wordWrap/>
        <w:overflowPunct/>
        <w:topLinePunct w:val="0"/>
        <w:autoSpaceDE w:val="0"/>
        <w:autoSpaceDN w:val="0"/>
        <w:bidi w:val="0"/>
        <w:adjustRightInd/>
        <w:snapToGrid/>
        <w:spacing w:before="153"/>
        <w:ind w:left="1134" w:right="1134"/>
        <w:textAlignment w:val="auto"/>
        <w:rPr>
          <w:sz w:val="24"/>
        </w:rPr>
      </w:pPr>
      <w:r>
        <w:rPr>
          <w:sz w:val="24"/>
        </w:rPr>
        <w:t>电子邮件：</w:t>
      </w:r>
      <w:r>
        <w:rPr>
          <w:sz w:val="24"/>
        </w:rPr>
        <w:tab/>
      </w:r>
    </w:p>
    <w:p>
      <w:pPr>
        <w:pStyle w:val="3"/>
        <w:spacing w:before="41"/>
      </w:pPr>
    </w:p>
    <w:p>
      <w:pPr>
        <w:pStyle w:val="7"/>
        <w:spacing w:before="8"/>
        <w:rPr>
          <w:b/>
          <w:sz w:val="19"/>
        </w:rPr>
      </w:pPr>
    </w:p>
    <w:p>
      <w:pPr>
        <w:pStyle w:val="7"/>
        <w:spacing w:before="8"/>
        <w:rPr>
          <w:b/>
          <w:sz w:val="19"/>
        </w:rPr>
      </w:pPr>
    </w:p>
    <w:p>
      <w:pPr>
        <w:pStyle w:val="7"/>
        <w:spacing w:before="8"/>
        <w:rPr>
          <w:b/>
          <w:sz w:val="19"/>
        </w:rPr>
      </w:pPr>
    </w:p>
    <w:p>
      <w:pPr>
        <w:pStyle w:val="7"/>
        <w:spacing w:before="8"/>
        <w:rPr>
          <w:b/>
          <w:sz w:val="19"/>
        </w:rPr>
      </w:pPr>
    </w:p>
    <w:p>
      <w:pPr>
        <w:pStyle w:val="7"/>
        <w:spacing w:before="8"/>
        <w:rPr>
          <w:b/>
          <w:sz w:val="19"/>
        </w:rPr>
      </w:pPr>
    </w:p>
    <w:p>
      <w:pPr>
        <w:pStyle w:val="7"/>
        <w:spacing w:before="8"/>
        <w:rPr>
          <w:b/>
          <w:sz w:val="19"/>
        </w:rPr>
      </w:pPr>
    </w:p>
    <w:p>
      <w:pPr>
        <w:spacing w:before="55"/>
        <w:ind w:left="642" w:right="655"/>
        <w:jc w:val="center"/>
        <w:rPr>
          <w:b/>
          <w:sz w:val="32"/>
        </w:rPr>
      </w:pPr>
      <w:r>
        <w:rPr>
          <w:b/>
          <w:sz w:val="32"/>
        </w:rPr>
        <w:t>投标保证金</w:t>
      </w:r>
    </w:p>
    <w:p>
      <w:pPr>
        <w:pStyle w:val="7"/>
        <w:spacing w:before="9"/>
        <w:rPr>
          <w:b/>
          <w:sz w:val="32"/>
        </w:rPr>
      </w:pPr>
    </w:p>
    <w:p>
      <w:pPr>
        <w:pStyle w:val="7"/>
        <w:spacing w:before="1" w:line="446" w:lineRule="auto"/>
        <w:ind w:left="660" w:right="570" w:firstLine="419"/>
        <w:jc w:val="both"/>
        <w:rPr>
          <w:rFonts w:hint="eastAsia"/>
        </w:rPr>
      </w:pPr>
      <w:r>
        <w:rPr>
          <w:rFonts w:ascii="Calibri" w:eastAsia="Calibri"/>
          <w:spacing w:val="-8"/>
        </w:rPr>
        <w:t>1</w:t>
      </w:r>
      <w:r>
        <w:rPr>
          <w:spacing w:val="-8"/>
        </w:rPr>
        <w:t>、 投标人在递交投标文件时，应按投标人须知前附表规定的金额递交投标保证金。联</w:t>
      </w:r>
      <w:r>
        <w:rPr>
          <w:spacing w:val="-12"/>
        </w:rPr>
        <w:t>合体投标的，其投标保证金由牵头人递交，并应符合投标人须知前附表的规定。投标人应充</w:t>
      </w:r>
      <w:r>
        <w:rPr>
          <w:spacing w:val="-6"/>
        </w:rPr>
        <w:t>分考虑投标保证金在途时间，确保投标保证金在投标截止时间前到达投标保证金专用帐户。</w:t>
      </w:r>
    </w:p>
    <w:p>
      <w:pPr>
        <w:pStyle w:val="7"/>
        <w:spacing w:before="1" w:line="446" w:lineRule="auto"/>
        <w:ind w:left="660" w:right="570" w:firstLine="419"/>
        <w:jc w:val="both"/>
        <w:rPr>
          <w:rFonts w:hint="eastAsia"/>
        </w:rPr>
      </w:pPr>
      <w:r>
        <w:rPr>
          <w:rFonts w:hint="eastAsia"/>
        </w:rPr>
        <w:t>2、投标保证金专用帐户：</w:t>
      </w:r>
    </w:p>
    <w:p>
      <w:pPr>
        <w:pStyle w:val="7"/>
        <w:spacing w:before="1" w:line="446" w:lineRule="auto"/>
        <w:ind w:left="660" w:right="570" w:firstLine="419"/>
        <w:jc w:val="both"/>
        <w:rPr>
          <w:rFonts w:hint="eastAsia"/>
        </w:rPr>
      </w:pPr>
      <w:r>
        <w:rPr>
          <w:rFonts w:hint="eastAsia"/>
        </w:rPr>
        <w:t>户名：九如城（广东)养老产业发展有限公司</w:t>
      </w:r>
    </w:p>
    <w:p>
      <w:pPr>
        <w:pStyle w:val="7"/>
        <w:spacing w:before="1" w:line="446" w:lineRule="auto"/>
        <w:ind w:left="660" w:right="570" w:firstLine="419"/>
        <w:jc w:val="both"/>
        <w:rPr>
          <w:rFonts w:hint="eastAsia"/>
        </w:rPr>
      </w:pPr>
      <w:r>
        <w:rPr>
          <w:rFonts w:hint="eastAsia"/>
        </w:rPr>
        <w:t>帐号：706868458162</w:t>
      </w:r>
    </w:p>
    <w:p>
      <w:pPr>
        <w:pStyle w:val="7"/>
        <w:spacing w:before="1" w:line="446" w:lineRule="auto"/>
        <w:ind w:left="660" w:right="570" w:firstLine="419"/>
        <w:jc w:val="both"/>
        <w:rPr>
          <w:rFonts w:hint="eastAsia"/>
        </w:rPr>
      </w:pPr>
      <w:r>
        <w:rPr>
          <w:rFonts w:hint="eastAsia"/>
        </w:rPr>
        <w:t>开户银行：中国银行股份有限公司广州岭南新世界支行</w:t>
      </w:r>
    </w:p>
    <w:p>
      <w:pPr>
        <w:pStyle w:val="7"/>
        <w:spacing w:before="1" w:line="446" w:lineRule="auto"/>
        <w:ind w:left="660" w:right="570" w:firstLine="419"/>
        <w:jc w:val="both"/>
        <w:rPr>
          <w:rFonts w:hint="eastAsia" w:eastAsia="宋体"/>
          <w:lang w:val="en-US" w:eastAsia="zh-CN"/>
        </w:rPr>
      </w:pPr>
      <w:r>
        <w:rPr>
          <w:rFonts w:hint="eastAsia"/>
        </w:rPr>
        <w:t>投标保证金金额：</w:t>
      </w:r>
      <w:r>
        <w:rPr>
          <w:rFonts w:hint="eastAsia"/>
          <w:lang w:val="en-US" w:eastAsia="zh-CN"/>
        </w:rPr>
        <w:t>壹</w:t>
      </w:r>
      <w:r>
        <w:rPr>
          <w:rFonts w:hint="eastAsia"/>
        </w:rPr>
        <w:t>万元</w:t>
      </w:r>
      <w:r>
        <w:rPr>
          <w:rFonts w:hint="eastAsia"/>
          <w:lang w:val="en-US" w:eastAsia="zh-CN"/>
        </w:rPr>
        <w:t>整</w:t>
      </w:r>
    </w:p>
    <w:p>
      <w:pPr>
        <w:spacing w:line="446" w:lineRule="auto"/>
        <w:ind w:left="660" w:right="673" w:firstLine="419"/>
        <w:jc w:val="both"/>
        <w:rPr>
          <w:b/>
          <w:sz w:val="21"/>
        </w:rPr>
      </w:pPr>
      <w:r>
        <w:rPr>
          <w:rFonts w:ascii="Calibri" w:eastAsia="Calibri"/>
          <w:sz w:val="21"/>
        </w:rPr>
        <w:t>3</w:t>
      </w:r>
      <w:r>
        <w:rPr>
          <w:spacing w:val="-9"/>
          <w:sz w:val="21"/>
        </w:rPr>
        <w:t>、报名单位须在投标截止时间前将投标保证金从企业账户</w:t>
      </w:r>
      <w:r>
        <w:rPr>
          <w:spacing w:val="-3"/>
          <w:sz w:val="21"/>
        </w:rPr>
        <w:t>缴入投标保证金专用账户</w:t>
      </w:r>
      <w:r>
        <w:rPr>
          <w:rFonts w:ascii="Calibri" w:eastAsia="Calibri"/>
          <w:spacing w:val="-3"/>
          <w:sz w:val="21"/>
        </w:rPr>
        <w:t>,</w:t>
      </w:r>
      <w:r>
        <w:rPr>
          <w:spacing w:val="-2"/>
          <w:sz w:val="21"/>
        </w:rPr>
        <w:t>支付方式有三种：</w:t>
      </w:r>
      <w:r>
        <w:rPr>
          <w:rFonts w:ascii="Calibri" w:eastAsia="Calibri"/>
          <w:spacing w:val="-2"/>
          <w:sz w:val="21"/>
        </w:rPr>
        <w:t>1</w:t>
      </w:r>
      <w:r>
        <w:rPr>
          <w:spacing w:val="-3"/>
          <w:sz w:val="21"/>
        </w:rPr>
        <w:t>、建行网银支付；</w:t>
      </w:r>
      <w:r>
        <w:rPr>
          <w:rFonts w:ascii="Calibri" w:eastAsia="Calibri"/>
          <w:sz w:val="21"/>
        </w:rPr>
        <w:t>2</w:t>
      </w:r>
      <w:r>
        <w:rPr>
          <w:spacing w:val="-2"/>
          <w:sz w:val="21"/>
        </w:rPr>
        <w:t>、他行网银支付；</w:t>
      </w:r>
      <w:r>
        <w:rPr>
          <w:rFonts w:ascii="Calibri" w:eastAsia="Calibri"/>
          <w:sz w:val="21"/>
        </w:rPr>
        <w:t>3</w:t>
      </w:r>
      <w:r>
        <w:rPr>
          <w:spacing w:val="-3"/>
          <w:sz w:val="21"/>
        </w:rPr>
        <w:t>、线下交易支付，线下交易支付有转账支票、银行汇票、电汇等方式（</w:t>
      </w:r>
      <w:r>
        <w:rPr>
          <w:spacing w:val="-1"/>
          <w:sz w:val="21"/>
        </w:rPr>
        <w:t>现金除外</w:t>
      </w:r>
      <w:r>
        <w:rPr>
          <w:spacing w:val="-3"/>
          <w:sz w:val="21"/>
        </w:rPr>
        <w:t>）</w:t>
      </w:r>
      <w:r>
        <w:rPr>
          <w:sz w:val="21"/>
        </w:rPr>
        <w:t>。</w:t>
      </w:r>
    </w:p>
    <w:p>
      <w:pPr>
        <w:spacing w:line="446" w:lineRule="auto"/>
        <w:ind w:left="660" w:right="671" w:firstLine="412"/>
        <w:jc w:val="both"/>
        <w:rPr>
          <w:sz w:val="21"/>
        </w:rPr>
      </w:pPr>
      <w:r>
        <w:rPr>
          <w:sz w:val="21"/>
        </w:rPr>
        <w:t>4、为进一步方便投标人，保证投标人相关信息的安全，投标单位缴纳保证金后，在开标当日签到的同时提交该工程投标保证金缴款回单</w:t>
      </w:r>
      <w:r>
        <w:rPr>
          <w:b/>
          <w:sz w:val="21"/>
        </w:rPr>
        <w:t>（回单背面注明标段名称、投标单位全称、委托人姓名、委托人手机号码）</w:t>
      </w:r>
      <w:r>
        <w:rPr>
          <w:sz w:val="21"/>
        </w:rPr>
        <w:t>，由招标人收取后统一到财务室开具投标保证金收据。</w:t>
      </w:r>
    </w:p>
    <w:p>
      <w:pPr>
        <w:pStyle w:val="7"/>
        <w:spacing w:line="446" w:lineRule="auto"/>
        <w:ind w:left="660" w:right="673" w:firstLine="412"/>
        <w:jc w:val="both"/>
      </w:pPr>
      <w:r>
        <w:t>5</w:t>
      </w:r>
      <w:r>
        <w:rPr>
          <w:spacing w:val="-4"/>
        </w:rPr>
        <w:t xml:space="preserve">、投标保证金的退还：除中标单位以外的其他投标单位在签订合同后 </w:t>
      </w:r>
      <w:r>
        <w:t>7</w:t>
      </w:r>
      <w:r>
        <w:rPr>
          <w:spacing w:val="-7"/>
        </w:rPr>
        <w:t>个工作日内退</w:t>
      </w:r>
      <w:r>
        <w:rPr>
          <w:spacing w:val="-5"/>
        </w:rPr>
        <w:t>还至缴纳账户。</w:t>
      </w:r>
    </w:p>
    <w:p>
      <w:pPr>
        <w:pStyle w:val="7"/>
        <w:ind w:left="1080"/>
        <w:rPr>
          <w:rFonts w:hint="default"/>
          <w:lang w:val="en-US" w:eastAsia="zh-CN"/>
        </w:rPr>
      </w:pPr>
      <w:r>
        <w:t>投标保证金缴纳咨询电话：1</w:t>
      </w:r>
      <w:r>
        <w:rPr>
          <w:rFonts w:hint="eastAsia"/>
          <w:lang w:val="en-US" w:eastAsia="zh-CN"/>
        </w:rPr>
        <w:t>3068299401 （石小姐）</w:t>
      </w:r>
    </w:p>
    <w:p>
      <w:pPr>
        <w:pStyle w:val="7"/>
        <w:ind w:left="1080"/>
        <w:rPr>
          <w:rFonts w:hint="eastAsia"/>
          <w:lang w:val="en-US" w:eastAsia="zh-CN"/>
        </w:rPr>
      </w:pPr>
    </w:p>
    <w:p>
      <w:pPr>
        <w:pStyle w:val="7"/>
        <w:ind w:left="1080"/>
        <w:rPr>
          <w:rFonts w:hint="eastAsia"/>
          <w:lang w:val="en-US" w:eastAsia="zh-CN"/>
        </w:rPr>
      </w:pPr>
    </w:p>
    <w:p>
      <w:pPr>
        <w:pStyle w:val="7"/>
        <w:ind w:left="1080"/>
        <w:rPr>
          <w:rFonts w:hint="eastAsia"/>
          <w:lang w:val="en-US" w:eastAsia="zh-CN"/>
        </w:rPr>
      </w:pPr>
    </w:p>
    <w:p>
      <w:pPr>
        <w:pStyle w:val="7"/>
        <w:ind w:left="1080"/>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r>
        <w:rPr>
          <w:rFonts w:hint="eastAsia"/>
          <w:lang w:val="en-US" w:eastAsia="zh-CN"/>
        </w:rPr>
        <w:t>附件1：</w:t>
      </w:r>
    </w:p>
    <w:tbl>
      <w:tblPr>
        <w:tblStyle w:val="8"/>
        <w:tblW w:w="10160" w:type="dxa"/>
        <w:tblInd w:w="0" w:type="dxa"/>
        <w:shd w:val="clear" w:color="auto" w:fill="auto"/>
        <w:tblLayout w:type="fixed"/>
        <w:tblCellMar>
          <w:top w:w="0" w:type="dxa"/>
          <w:left w:w="0" w:type="dxa"/>
          <w:bottom w:w="0" w:type="dxa"/>
          <w:right w:w="0" w:type="dxa"/>
        </w:tblCellMar>
      </w:tblPr>
      <w:tblGrid>
        <w:gridCol w:w="1024"/>
        <w:gridCol w:w="4379"/>
        <w:gridCol w:w="1024"/>
        <w:gridCol w:w="1686"/>
        <w:gridCol w:w="1024"/>
        <w:gridCol w:w="1023"/>
      </w:tblGrid>
      <w:tr>
        <w:tblPrEx>
          <w:shd w:val="clear" w:color="auto" w:fill="auto"/>
        </w:tblPrEx>
        <w:trPr>
          <w:trHeight w:val="748" w:hRule="atLeast"/>
        </w:trPr>
        <w:tc>
          <w:tcPr>
            <w:tcW w:w="1016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等线" w:hAnsi="等线" w:eastAsia="等线" w:cs="等线"/>
                <w:b/>
                <w:i w:val="0"/>
                <w:color w:val="000000"/>
                <w:sz w:val="36"/>
                <w:szCs w:val="36"/>
                <w:u w:val="none"/>
              </w:rPr>
            </w:pPr>
            <w:r>
              <w:rPr>
                <w:rFonts w:hint="eastAsia" w:ascii="等线" w:hAnsi="等线" w:eastAsia="等线" w:cs="等线"/>
                <w:b/>
                <w:i w:val="0"/>
                <w:color w:val="000000"/>
                <w:kern w:val="0"/>
                <w:sz w:val="36"/>
                <w:szCs w:val="36"/>
                <w:u w:val="none"/>
                <w:lang w:val="en-US" w:eastAsia="zh-CN" w:bidi="ar"/>
              </w:rPr>
              <w:t>大良项目打拆及新建工程统计表</w:t>
            </w:r>
          </w:p>
        </w:tc>
      </w:tr>
      <w:tr>
        <w:tblPrEx>
          <w:tblCellMar>
            <w:top w:w="0" w:type="dxa"/>
            <w:left w:w="0" w:type="dxa"/>
            <w:bottom w:w="0" w:type="dxa"/>
            <w:right w:w="0" w:type="dxa"/>
          </w:tblCellMar>
        </w:tblPrEx>
        <w:trPr>
          <w:trHeight w:val="477" w:hRule="atLeast"/>
        </w:trPr>
        <w:tc>
          <w:tcPr>
            <w:tcW w:w="642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项目名称：</w:t>
            </w:r>
          </w:p>
        </w:tc>
        <w:tc>
          <w:tcPr>
            <w:tcW w:w="373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项目地址：</w:t>
            </w:r>
          </w:p>
        </w:tc>
      </w:tr>
      <w:tr>
        <w:tblPrEx>
          <w:tblCellMar>
            <w:top w:w="0" w:type="dxa"/>
            <w:left w:w="0" w:type="dxa"/>
            <w:bottom w:w="0" w:type="dxa"/>
            <w:right w:w="0" w:type="dxa"/>
          </w:tblCellMar>
        </w:tblPrEx>
        <w:trPr>
          <w:trHeight w:val="535"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序号</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项目名称</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单位</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数量</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单价</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总价</w:t>
            </w:r>
          </w:p>
        </w:tc>
      </w:tr>
      <w:tr>
        <w:tblPrEx>
          <w:tblCellMar>
            <w:top w:w="0" w:type="dxa"/>
            <w:left w:w="0" w:type="dxa"/>
            <w:bottom w:w="0" w:type="dxa"/>
            <w:right w:w="0" w:type="dxa"/>
          </w:tblCellMar>
        </w:tblPrEx>
        <w:trPr>
          <w:trHeight w:val="526" w:hRule="atLeast"/>
        </w:trPr>
        <w:tc>
          <w:tcPr>
            <w:tcW w:w="1024"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4379"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顶面拆除</w:t>
            </w:r>
          </w:p>
        </w:tc>
        <w:tc>
          <w:tcPr>
            <w:tcW w:w="1024"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rPr>
                <w:rFonts w:hint="eastAsia" w:ascii="等线" w:hAnsi="等线" w:eastAsia="等线" w:cs="等线"/>
                <w:i w:val="0"/>
                <w:color w:val="000000"/>
                <w:sz w:val="22"/>
                <w:szCs w:val="22"/>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rPr>
                <w:rFonts w:hint="eastAsia" w:ascii="等线" w:hAnsi="等线" w:eastAsia="等线" w:cs="等线"/>
                <w:i w:val="0"/>
                <w:color w:val="000000"/>
                <w:sz w:val="22"/>
                <w:szCs w:val="22"/>
                <w:u w:val="none"/>
              </w:rPr>
            </w:pPr>
          </w:p>
        </w:tc>
        <w:tc>
          <w:tcPr>
            <w:tcW w:w="1024"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rPr>
                <w:rFonts w:hint="eastAsia" w:ascii="等线" w:hAnsi="等线" w:eastAsia="等线" w:cs="等线"/>
                <w:i w:val="0"/>
                <w:color w:val="000000"/>
                <w:sz w:val="22"/>
                <w:szCs w:val="22"/>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一层顶面拆除</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166.00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二层顶面拆除</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483.40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三层顶面拆除</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463.20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四层顶面拆除</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409.20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五层顶面拆除</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409.20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六层顶面拆除</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284.40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7</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七层顶面拆除</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62.10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41" w:hRule="atLeast"/>
        </w:trPr>
        <w:tc>
          <w:tcPr>
            <w:tcW w:w="1024" w:type="dxa"/>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4379" w:type="dxa"/>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顶面拆除（总合）</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2277.50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483" w:hRule="atLeast"/>
        </w:trPr>
        <w:tc>
          <w:tcPr>
            <w:tcW w:w="1024"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rPr>
                <w:rFonts w:hint="eastAsia" w:ascii="等线" w:hAnsi="等线" w:eastAsia="等线" w:cs="等线"/>
                <w:i w:val="0"/>
                <w:color w:val="000000"/>
                <w:sz w:val="22"/>
                <w:szCs w:val="22"/>
                <w:u w:val="none"/>
              </w:rPr>
            </w:pPr>
          </w:p>
        </w:tc>
        <w:tc>
          <w:tcPr>
            <w:tcW w:w="4379"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地面拆除</w:t>
            </w:r>
          </w:p>
        </w:tc>
        <w:tc>
          <w:tcPr>
            <w:tcW w:w="1024"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rPr>
                <w:rFonts w:hint="eastAsia" w:ascii="等线" w:hAnsi="等线" w:eastAsia="等线" w:cs="等线"/>
                <w:i w:val="0"/>
                <w:color w:val="000000"/>
                <w:sz w:val="22"/>
                <w:szCs w:val="22"/>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024"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拆除地砖</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132.20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拆除地台</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44.00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户外地面修补</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200.00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98" w:hRule="atLeast"/>
        </w:trPr>
        <w:tc>
          <w:tcPr>
            <w:tcW w:w="1024"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4379"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打拆墙体</w:t>
            </w:r>
          </w:p>
        </w:tc>
        <w:tc>
          <w:tcPr>
            <w:tcW w:w="1024"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rPr>
                <w:rFonts w:hint="eastAsia" w:ascii="等线" w:hAnsi="等线" w:eastAsia="等线" w:cs="等线"/>
                <w:i w:val="0"/>
                <w:color w:val="000000"/>
                <w:sz w:val="22"/>
                <w:szCs w:val="22"/>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024"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一层打拆墙体</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58.60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二层打拆墙体</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368.17</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三层打拆墙体</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393.13</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四层打拆墙体</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296.97</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五层打拆墙体</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287.97</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六层新打拆体</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165.81</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15"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7</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七层新打拆体</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41" w:hRule="atLeast"/>
        </w:trPr>
        <w:tc>
          <w:tcPr>
            <w:tcW w:w="5403" w:type="dxa"/>
            <w:gridSpan w:val="2"/>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拆墙体（总合）</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1570.65</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526" w:hRule="atLeast"/>
        </w:trPr>
        <w:tc>
          <w:tcPr>
            <w:tcW w:w="1024"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4379"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其它拆除项目</w:t>
            </w:r>
          </w:p>
        </w:tc>
        <w:tc>
          <w:tcPr>
            <w:tcW w:w="1024"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rPr>
                <w:rFonts w:hint="eastAsia" w:ascii="等线" w:hAnsi="等线" w:eastAsia="等线" w:cs="等线"/>
                <w:i w:val="0"/>
                <w:color w:val="000000"/>
                <w:sz w:val="22"/>
                <w:szCs w:val="22"/>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024"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47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拆除原木门</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樘</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77.00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44"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铲除原墙面批荡</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3500.00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44"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拆除玻璃隔墙</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152.88</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01"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拆除原铝合金窗</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295.20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87"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现场家具拆除</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项</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现场洁具拆除</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项</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7</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现场水管及龙头拆除</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项</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现场电线及电表拆除</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项</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其它杂物拆除</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项</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新搭建消防楼梯</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台</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39" w:hRule="atLeast"/>
        </w:trPr>
        <w:tc>
          <w:tcPr>
            <w:tcW w:w="5403" w:type="dxa"/>
            <w:gridSpan w:val="2"/>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合计</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477" w:hRule="atLeast"/>
        </w:trPr>
        <w:tc>
          <w:tcPr>
            <w:tcW w:w="1024"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rPr>
                <w:rFonts w:hint="eastAsia" w:ascii="等线" w:hAnsi="等线" w:eastAsia="等线" w:cs="等线"/>
                <w:i w:val="0"/>
                <w:color w:val="000000"/>
                <w:sz w:val="22"/>
                <w:szCs w:val="22"/>
                <w:u w:val="none"/>
              </w:rPr>
            </w:pPr>
          </w:p>
        </w:tc>
        <w:tc>
          <w:tcPr>
            <w:tcW w:w="5403" w:type="dxa"/>
            <w:gridSpan w:val="2"/>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新建墙体</w:t>
            </w:r>
          </w:p>
        </w:tc>
        <w:tc>
          <w:tcPr>
            <w:tcW w:w="3733" w:type="dxa"/>
            <w:gridSpan w:val="3"/>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一层新建墙体</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254.23</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二层新建墙体</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479.24</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三层新建墙体</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465.44</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四层新建墙体</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311.07</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五层新建墙体</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352.41</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六层新建墙体</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79.32</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7</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七层新建墙体</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29.01</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50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4379" w:type="dxa"/>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新建墙体（总合）</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1970.72</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新建墙体双面批荡</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3941.43</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新做铝合金窗</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295.20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2"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其它项目拆除</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项</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531" w:hRule="atLeast"/>
        </w:trPr>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w:t>
            </w:r>
          </w:p>
        </w:tc>
        <w:tc>
          <w:tcPr>
            <w:tcW w:w="43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垃圾清运费</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项</w:t>
            </w: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1.00</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89" w:hRule="atLeast"/>
        </w:trPr>
        <w:tc>
          <w:tcPr>
            <w:tcW w:w="1024"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rPr>
                <w:rFonts w:hint="eastAsia" w:ascii="等线" w:hAnsi="等线" w:eastAsia="等线" w:cs="等线"/>
                <w:i w:val="0"/>
                <w:color w:val="000000"/>
                <w:sz w:val="22"/>
                <w:szCs w:val="22"/>
                <w:u w:val="none"/>
              </w:rPr>
            </w:pPr>
          </w:p>
        </w:tc>
        <w:tc>
          <w:tcPr>
            <w:tcW w:w="8113" w:type="dxa"/>
            <w:gridSpan w:val="4"/>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备注:新建墙体及拆除墙体高度按3000mm计算</w:t>
            </w:r>
          </w:p>
        </w:tc>
        <w:tc>
          <w:tcPr>
            <w:tcW w:w="1023"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rPr>
                <w:rFonts w:hint="eastAsia" w:ascii="等线" w:hAnsi="等线" w:eastAsia="等线" w:cs="等线"/>
                <w:i w:val="0"/>
                <w:color w:val="000000"/>
                <w:sz w:val="22"/>
                <w:szCs w:val="22"/>
                <w:u w:val="none"/>
              </w:rPr>
            </w:pPr>
          </w:p>
        </w:tc>
      </w:tr>
    </w:tbl>
    <w:p>
      <w:pPr>
        <w:pStyle w:val="7"/>
        <w:rPr>
          <w:rFonts w:hint="default"/>
          <w:lang w:val="en-US" w:eastAsia="zh-CN"/>
        </w:rPr>
        <w:sectPr>
          <w:pgSz w:w="11910" w:h="16840"/>
          <w:pgMar w:top="896" w:right="1120" w:bottom="278" w:left="1140" w:header="720" w:footer="720" w:gutter="0"/>
          <w:cols w:space="0" w:num="1"/>
          <w:rtlGutter w:val="0"/>
          <w:docGrid w:linePitch="0" w:charSpace="0"/>
        </w:sectPr>
      </w:pPr>
    </w:p>
    <w:p>
      <w:pPr>
        <w:pStyle w:val="2"/>
        <w:spacing w:before="130"/>
        <w:ind w:left="660"/>
        <w:jc w:val="left"/>
        <w:rPr>
          <w:rFonts w:hint="eastAsia" w:ascii="宋体" w:eastAsia="宋体"/>
        </w:rPr>
      </w:pPr>
      <w:r>
        <w:rPr>
          <w:rFonts w:hint="eastAsia" w:ascii="宋体" w:eastAsia="宋体"/>
        </w:rPr>
        <w:t>附件</w:t>
      </w:r>
      <w:r>
        <w:rPr>
          <w:rFonts w:hint="eastAsia" w:ascii="宋体" w:eastAsia="宋体"/>
          <w:lang w:val="en-US" w:eastAsia="zh-CN"/>
        </w:rPr>
        <w:t>2</w:t>
      </w:r>
      <w:r>
        <w:rPr>
          <w:rFonts w:hint="eastAsia" w:ascii="宋体" w:eastAsia="宋体"/>
        </w:rPr>
        <w:t>：</w:t>
      </w:r>
    </w:p>
    <w:p>
      <w:pPr>
        <w:pStyle w:val="7"/>
        <w:rPr>
          <w:sz w:val="20"/>
        </w:rPr>
      </w:pPr>
    </w:p>
    <w:p>
      <w:pPr>
        <w:pStyle w:val="7"/>
        <w:spacing w:before="8"/>
        <w:rPr>
          <w:sz w:val="18"/>
        </w:rPr>
      </w:pPr>
    </w:p>
    <w:p>
      <w:pPr>
        <w:spacing w:before="55"/>
        <w:ind w:left="642" w:right="337"/>
        <w:jc w:val="center"/>
        <w:rPr>
          <w:b/>
          <w:sz w:val="32"/>
        </w:rPr>
      </w:pPr>
      <w:r>
        <w:rPr>
          <w:b/>
          <w:sz w:val="32"/>
        </w:rPr>
        <w:t>资格审查办法</w:t>
      </w:r>
    </w:p>
    <w:p>
      <w:pPr>
        <w:pStyle w:val="7"/>
        <w:spacing w:before="2"/>
        <w:rPr>
          <w:b/>
          <w:sz w:val="45"/>
        </w:rPr>
      </w:pPr>
    </w:p>
    <w:p>
      <w:pPr>
        <w:pStyle w:val="7"/>
        <w:spacing w:line="410" w:lineRule="auto"/>
        <w:ind w:left="1080" w:right="3935"/>
      </w:pPr>
      <w:r>
        <w:t>一、本工程采用</w:t>
      </w:r>
      <w:r>
        <w:rPr>
          <w:b/>
          <w:u w:val="single"/>
        </w:rPr>
        <w:t>资格后审</w:t>
      </w:r>
      <w:r>
        <w:t>对投标人进行资格审查。本工程资审合格条件：</w:t>
      </w:r>
    </w:p>
    <w:p>
      <w:pPr>
        <w:pStyle w:val="17"/>
        <w:numPr>
          <w:ilvl w:val="0"/>
          <w:numId w:val="2"/>
        </w:numPr>
        <w:tabs>
          <w:tab w:val="left" w:pos="1610"/>
        </w:tabs>
        <w:spacing w:line="268" w:lineRule="exact"/>
        <w:ind w:hanging="530"/>
        <w:rPr>
          <w:sz w:val="21"/>
        </w:rPr>
      </w:pPr>
      <w:r>
        <w:rPr>
          <w:spacing w:val="-3"/>
          <w:sz w:val="21"/>
        </w:rPr>
        <w:t>具有独立订立合同的能力；</w:t>
      </w:r>
    </w:p>
    <w:p>
      <w:pPr>
        <w:pStyle w:val="17"/>
        <w:numPr>
          <w:ilvl w:val="0"/>
          <w:numId w:val="2"/>
        </w:numPr>
        <w:tabs>
          <w:tab w:val="left" w:pos="1610"/>
        </w:tabs>
        <w:spacing w:before="192"/>
        <w:ind w:hanging="530"/>
        <w:rPr>
          <w:sz w:val="21"/>
        </w:rPr>
      </w:pPr>
      <w:r>
        <w:rPr>
          <w:spacing w:val="-3"/>
          <w:sz w:val="21"/>
        </w:rPr>
        <w:t>未处于被责令停业，投标资格被取消的状态；</w:t>
      </w:r>
    </w:p>
    <w:p>
      <w:pPr>
        <w:pStyle w:val="17"/>
        <w:numPr>
          <w:ilvl w:val="0"/>
          <w:numId w:val="2"/>
        </w:numPr>
        <w:tabs>
          <w:tab w:val="left" w:pos="1610"/>
        </w:tabs>
        <w:spacing w:before="192" w:line="408" w:lineRule="auto"/>
        <w:ind w:left="660" w:right="681" w:firstLine="419"/>
        <w:rPr>
          <w:sz w:val="21"/>
        </w:rPr>
      </w:pPr>
      <w:r>
        <w:rPr>
          <w:spacing w:val="-3"/>
          <w:sz w:val="21"/>
        </w:rPr>
        <w:t>企业没有因骗取中标或者严重违约以及发生重大工程质量、安全事故等暂停投标资格并处在暂停期内的；</w:t>
      </w:r>
    </w:p>
    <w:p>
      <w:pPr>
        <w:pStyle w:val="17"/>
        <w:numPr>
          <w:ilvl w:val="0"/>
          <w:numId w:val="2"/>
        </w:numPr>
        <w:tabs>
          <w:tab w:val="left" w:pos="1610"/>
        </w:tabs>
        <w:spacing w:before="4"/>
        <w:ind w:hanging="530"/>
        <w:rPr>
          <w:sz w:val="21"/>
        </w:rPr>
      </w:pPr>
      <w:r>
        <w:rPr>
          <w:spacing w:val="-3"/>
          <w:sz w:val="21"/>
        </w:rPr>
        <w:t>投标文件中的资格审查资料没有失真或者弄虚作假；</w:t>
      </w:r>
    </w:p>
    <w:p>
      <w:pPr>
        <w:pStyle w:val="17"/>
        <w:numPr>
          <w:ilvl w:val="0"/>
          <w:numId w:val="2"/>
        </w:numPr>
        <w:tabs>
          <w:tab w:val="left" w:pos="1610"/>
        </w:tabs>
        <w:spacing w:before="192" w:line="408" w:lineRule="auto"/>
        <w:ind w:left="660" w:right="681" w:firstLine="419"/>
        <w:rPr>
          <w:sz w:val="21"/>
        </w:rPr>
      </w:pPr>
      <w:r>
        <w:rPr>
          <w:spacing w:val="-3"/>
          <w:sz w:val="21"/>
        </w:rPr>
        <w:t>企业的资质类别、等级；满足本公告要求，企业具备安全生产条件，并取得安全生产许可证；</w:t>
      </w:r>
    </w:p>
    <w:p>
      <w:pPr>
        <w:pStyle w:val="17"/>
        <w:numPr>
          <w:ilvl w:val="0"/>
          <w:numId w:val="2"/>
        </w:numPr>
        <w:tabs>
          <w:tab w:val="left" w:pos="1610"/>
        </w:tabs>
        <w:spacing w:before="4" w:line="410" w:lineRule="auto"/>
        <w:ind w:left="660" w:right="681" w:firstLine="419"/>
        <w:rPr>
          <w:sz w:val="21"/>
        </w:rPr>
      </w:pPr>
      <w:r>
        <w:rPr>
          <w:rFonts w:hint="eastAsia"/>
          <w:sz w:val="21"/>
          <w:lang w:eastAsia="zh-CN"/>
        </w:rPr>
        <w:t>本次招标无建造师要求，但需专职现场沟通人员。不可兼职。</w:t>
      </w:r>
    </w:p>
    <w:p>
      <w:pPr>
        <w:pStyle w:val="17"/>
        <w:numPr>
          <w:ilvl w:val="0"/>
          <w:numId w:val="2"/>
        </w:numPr>
        <w:tabs>
          <w:tab w:val="left" w:pos="1610"/>
        </w:tabs>
        <w:spacing w:line="268" w:lineRule="exact"/>
        <w:ind w:hanging="530"/>
        <w:rPr>
          <w:sz w:val="21"/>
        </w:rPr>
      </w:pPr>
      <w:r>
        <w:rPr>
          <w:spacing w:val="-3"/>
          <w:sz w:val="21"/>
        </w:rPr>
        <w:t>项目负责人必须满足下列条件之一：</w:t>
      </w:r>
    </w:p>
    <w:p>
      <w:pPr>
        <w:pStyle w:val="17"/>
        <w:numPr>
          <w:ilvl w:val="0"/>
          <w:numId w:val="3"/>
        </w:numPr>
        <w:tabs>
          <w:tab w:val="left" w:pos="1340"/>
        </w:tabs>
        <w:spacing w:before="192"/>
        <w:rPr>
          <w:sz w:val="21"/>
        </w:rPr>
      </w:pPr>
      <w:r>
        <w:rPr>
          <w:spacing w:val="-3"/>
          <w:sz w:val="21"/>
        </w:rPr>
        <w:t>项目负责人是非变更后无在建工程。</w:t>
      </w:r>
    </w:p>
    <w:p>
      <w:pPr>
        <w:pStyle w:val="17"/>
        <w:numPr>
          <w:ilvl w:val="0"/>
          <w:numId w:val="3"/>
        </w:numPr>
        <w:tabs>
          <w:tab w:val="left" w:pos="1246"/>
        </w:tabs>
        <w:spacing w:before="192"/>
        <w:ind w:left="1245" w:hanging="166"/>
        <w:rPr>
          <w:spacing w:val="-3"/>
          <w:sz w:val="21"/>
        </w:rPr>
      </w:pPr>
      <w:r>
        <w:rPr>
          <w:spacing w:val="-3"/>
          <w:sz w:val="21"/>
        </w:rPr>
        <w:t>项目负责人是变更后无在建工程的，并且：原合同工期已满且变更备案之日满6 个月；</w:t>
      </w:r>
    </w:p>
    <w:p>
      <w:pPr>
        <w:pStyle w:val="7"/>
        <w:spacing w:before="189" w:line="410" w:lineRule="auto"/>
        <w:ind w:left="660" w:right="673"/>
      </w:pPr>
      <w:r>
        <w:rPr>
          <w:spacing w:val="-11"/>
        </w:rPr>
        <w:t xml:space="preserve">或者，因非承包人原有致使工程项目停工超过 </w:t>
      </w:r>
      <w:r>
        <w:rPr>
          <w:rFonts w:ascii="Calibri" w:eastAsia="Calibri"/>
        </w:rPr>
        <w:t xml:space="preserve">120 </w:t>
      </w:r>
      <w:r>
        <w:rPr>
          <w:spacing w:val="-9"/>
        </w:rPr>
        <w:t>天，且经建设单位同意并已经办理项目负</w:t>
      </w:r>
      <w:r>
        <w:rPr>
          <w:spacing w:val="-5"/>
        </w:rPr>
        <w:t>责人变更手续的。</w:t>
      </w:r>
    </w:p>
    <w:p>
      <w:pPr>
        <w:pStyle w:val="17"/>
        <w:numPr>
          <w:ilvl w:val="0"/>
          <w:numId w:val="2"/>
        </w:numPr>
        <w:tabs>
          <w:tab w:val="left" w:pos="1610"/>
        </w:tabs>
        <w:spacing w:line="269" w:lineRule="exact"/>
        <w:ind w:hanging="530"/>
        <w:rPr>
          <w:sz w:val="21"/>
        </w:rPr>
      </w:pPr>
      <w:r>
        <w:rPr>
          <w:spacing w:val="-3"/>
          <w:sz w:val="21"/>
        </w:rPr>
        <w:t>投标人类似工程</w:t>
      </w:r>
      <w:r>
        <w:rPr>
          <w:sz w:val="21"/>
        </w:rPr>
        <w:t>（</w:t>
      </w:r>
      <w:r>
        <w:rPr>
          <w:spacing w:val="-2"/>
          <w:sz w:val="21"/>
        </w:rPr>
        <w:t>无要求</w:t>
      </w:r>
      <w:r>
        <w:rPr>
          <w:sz w:val="21"/>
        </w:rPr>
        <w:t>）；</w:t>
      </w:r>
    </w:p>
    <w:p>
      <w:pPr>
        <w:pStyle w:val="17"/>
        <w:numPr>
          <w:ilvl w:val="0"/>
          <w:numId w:val="2"/>
        </w:numPr>
        <w:tabs>
          <w:tab w:val="left" w:pos="1610"/>
        </w:tabs>
        <w:spacing w:before="191"/>
        <w:ind w:hanging="530"/>
        <w:rPr>
          <w:sz w:val="21"/>
        </w:rPr>
      </w:pPr>
      <w:r>
        <w:rPr>
          <w:spacing w:val="-3"/>
          <w:sz w:val="21"/>
        </w:rPr>
        <w:t>项目经理类似工程（</w:t>
      </w:r>
      <w:r>
        <w:rPr>
          <w:spacing w:val="-1"/>
          <w:sz w:val="21"/>
        </w:rPr>
        <w:t>无要求</w:t>
      </w:r>
      <w:r>
        <w:rPr>
          <w:sz w:val="21"/>
        </w:rPr>
        <w:t>）；</w:t>
      </w:r>
    </w:p>
    <w:p>
      <w:pPr>
        <w:pStyle w:val="17"/>
        <w:numPr>
          <w:ilvl w:val="0"/>
          <w:numId w:val="2"/>
        </w:numPr>
        <w:tabs>
          <w:tab w:val="left" w:pos="1715"/>
        </w:tabs>
        <w:spacing w:before="190" w:line="410" w:lineRule="auto"/>
        <w:ind w:left="660" w:right="675" w:firstLine="419"/>
        <w:rPr>
          <w:sz w:val="21"/>
        </w:rPr>
      </w:pPr>
      <w:r>
        <w:rPr>
          <w:spacing w:val="-8"/>
          <w:sz w:val="21"/>
        </w:rPr>
        <w:t>所有投标单位须</w:t>
      </w:r>
      <w:r>
        <w:rPr>
          <w:rFonts w:hint="eastAsia"/>
          <w:spacing w:val="-8"/>
          <w:sz w:val="21"/>
          <w:lang w:eastAsia="zh-CN"/>
        </w:rPr>
        <w:t>营业满2年以上。</w:t>
      </w:r>
    </w:p>
    <w:p>
      <w:pPr>
        <w:pStyle w:val="5"/>
        <w:numPr>
          <w:ilvl w:val="0"/>
          <w:numId w:val="2"/>
        </w:numPr>
        <w:tabs>
          <w:tab w:val="left" w:pos="1718"/>
        </w:tabs>
        <w:spacing w:line="273" w:lineRule="exact"/>
        <w:ind w:left="1717" w:hanging="638"/>
      </w:pPr>
      <w:r>
        <w:rPr>
          <w:spacing w:val="-3"/>
        </w:rPr>
        <w:t>符合法律、法规规定的其他条件。</w:t>
      </w:r>
    </w:p>
    <w:p>
      <w:pPr>
        <w:pStyle w:val="7"/>
        <w:spacing w:before="186"/>
        <w:ind w:left="1080"/>
      </w:pPr>
      <w:r>
        <w:t>三、由招标人委托的评标委员会实施对投标人的资格审查。</w:t>
      </w:r>
    </w:p>
    <w:p>
      <w:pPr>
        <w:sectPr>
          <w:pgSz w:w="11910" w:h="16840"/>
          <w:pgMar w:top="1580" w:right="1120" w:bottom="280" w:left="1140" w:header="720" w:footer="720" w:gutter="0"/>
          <w:cols w:space="720" w:num="1"/>
        </w:sectPr>
      </w:pPr>
    </w:p>
    <w:p>
      <w:pPr>
        <w:pStyle w:val="7"/>
        <w:spacing w:before="59" w:line="410" w:lineRule="auto"/>
        <w:ind w:left="660" w:right="678" w:firstLine="419"/>
      </w:pPr>
      <w:r>
        <w:t>四、资格审查资料以已录入“</w:t>
      </w:r>
      <w:r>
        <w:rPr>
          <w:rFonts w:hint="eastAsia"/>
          <w:lang w:val="en-US" w:eastAsia="zh-CN"/>
        </w:rPr>
        <w:t>佛山</w:t>
      </w:r>
      <w:r>
        <w:t>市建设工程电子化招投标系统”（</w:t>
      </w:r>
      <w:r>
        <w:rPr>
          <w:rFonts w:ascii="Calibri" w:hAnsi="Calibri" w:eastAsia="Calibri"/>
        </w:rPr>
        <w:t xml:space="preserve">5.0 </w:t>
      </w:r>
      <w:r>
        <w:t>系统）“企业诚信库”的信息为准。</w:t>
      </w:r>
    </w:p>
    <w:p>
      <w:pPr>
        <w:pStyle w:val="7"/>
        <w:spacing w:line="220" w:lineRule="exact"/>
        <w:ind w:left="1080"/>
      </w:pPr>
      <w:r>
        <w:t>五、资格后审需递交的资料：</w:t>
      </w:r>
    </w:p>
    <w:p>
      <w:pPr>
        <w:pStyle w:val="7"/>
        <w:spacing w:before="132" w:line="357" w:lineRule="auto"/>
        <w:ind w:left="660" w:right="563" w:firstLine="419"/>
        <w:jc w:val="both"/>
      </w:pPr>
      <w:r>
        <w:t>1</w:t>
      </w:r>
      <w:r>
        <w:rPr>
          <w:spacing w:val="-8"/>
        </w:rPr>
        <w:t>、投标单位需递交以下资料参加资格后审：①企业法人营业执照</w:t>
      </w:r>
      <w:r>
        <w:t>（</w:t>
      </w:r>
      <w:r>
        <w:rPr>
          <w:spacing w:val="-3"/>
        </w:rPr>
        <w:t>副本</w:t>
      </w:r>
      <w:r>
        <w:rPr>
          <w:spacing w:val="-17"/>
        </w:rPr>
        <w:t>）</w:t>
      </w:r>
      <w:r>
        <w:rPr>
          <w:spacing w:val="-5"/>
        </w:rPr>
        <w:t>复印件；②建</w:t>
      </w:r>
      <w:r>
        <w:rPr>
          <w:spacing w:val="-4"/>
        </w:rPr>
        <w:t>筑业企业资质证书</w:t>
      </w:r>
      <w:r>
        <w:t>（</w:t>
      </w:r>
      <w:r>
        <w:rPr>
          <w:spacing w:val="-3"/>
        </w:rPr>
        <w:t>副本</w:t>
      </w:r>
      <w:r>
        <w:t>）</w:t>
      </w:r>
      <w:r>
        <w:rPr>
          <w:spacing w:val="-3"/>
        </w:rPr>
        <w:t>复印件；③投标单位法定代表人授权委托书原件、被委托人第二代居民身份证原件；</w:t>
      </w:r>
    </w:p>
    <w:p>
      <w:pPr>
        <w:pStyle w:val="7"/>
        <w:spacing w:before="40" w:line="410" w:lineRule="auto"/>
        <w:ind w:left="660" w:right="671" w:firstLine="419"/>
      </w:pPr>
      <w:r>
        <w:t>2</w:t>
      </w:r>
      <w:r>
        <w:rPr>
          <w:spacing w:val="-3"/>
        </w:rPr>
        <w:t>、除身份证</w:t>
      </w:r>
      <w:r>
        <w:rPr>
          <w:rFonts w:hint="eastAsia"/>
          <w:spacing w:val="-3"/>
        </w:rPr>
        <w:t>复印</w:t>
      </w:r>
      <w:r>
        <w:rPr>
          <w:spacing w:val="-3"/>
        </w:rPr>
        <w:t>件、授权委托书</w:t>
      </w:r>
      <w:r>
        <w:rPr>
          <w:rFonts w:hint="eastAsia"/>
          <w:spacing w:val="-3"/>
        </w:rPr>
        <w:t>原</w:t>
      </w:r>
      <w:r>
        <w:rPr>
          <w:spacing w:val="-3"/>
        </w:rPr>
        <w:t>件、投标保证金缴款回单以外的其他资格后审资料必</w:t>
      </w:r>
      <w:r>
        <w:rPr>
          <w:spacing w:val="-7"/>
        </w:rPr>
        <w:t>须按上述顺序提供一套复印件装订成册，与原件一起必须装袋、密封</w:t>
      </w:r>
      <w:r>
        <w:rPr>
          <w:spacing w:val="-3"/>
        </w:rPr>
        <w:t>（</w:t>
      </w:r>
      <w:r>
        <w:rPr>
          <w:spacing w:val="-6"/>
        </w:rPr>
        <w:t>注：密封袋骑缝处加</w:t>
      </w:r>
      <w:r>
        <w:rPr>
          <w:spacing w:val="-4"/>
        </w:rPr>
        <w:t>盖报名企业公章</w:t>
      </w:r>
      <w:r>
        <w:rPr>
          <w:spacing w:val="-106"/>
        </w:rPr>
        <w:t>）</w:t>
      </w:r>
      <w:r>
        <w:rPr>
          <w:spacing w:val="-3"/>
        </w:rPr>
        <w:t>、标志（注：密封袋上注明工程名称、标段名称、报名企业全称并加盖报名企业公章和法定代表人印章（</w:t>
      </w:r>
      <w:r>
        <w:rPr>
          <w:spacing w:val="-2"/>
        </w:rPr>
        <w:t>或签名</w:t>
      </w:r>
      <w:r>
        <w:rPr>
          <w:spacing w:val="-108"/>
        </w:rPr>
        <w:t>）</w:t>
      </w:r>
      <w:r>
        <w:t>）</w:t>
      </w:r>
      <w:r>
        <w:rPr>
          <w:spacing w:val="-3"/>
        </w:rPr>
        <w:t>后在开标截止时间前一次性递交，开标截止时间后不再接受补充资料。</w:t>
      </w:r>
      <w:r>
        <w:rPr>
          <w:b/>
          <w:spacing w:val="-2"/>
        </w:rPr>
        <w:t>资格后审需递交的资料必须单独装袋、密封。</w:t>
      </w:r>
      <w:r>
        <w:rPr>
          <w:spacing w:val="-3"/>
        </w:rPr>
        <w:t>在开标截止时间前未能递交以上原件和复印件的作资审不合格处理。</w:t>
      </w:r>
    </w:p>
    <w:p>
      <w:pPr>
        <w:pStyle w:val="7"/>
        <w:spacing w:before="57" w:line="410" w:lineRule="auto"/>
        <w:ind w:left="660" w:right="570" w:firstLine="419"/>
      </w:pPr>
      <w:r>
        <w:rPr>
          <w:spacing w:val="-10"/>
        </w:rPr>
        <w:t>六、投标单位法定代表人或其法定代表人授权委托人必须携带本人第二代</w:t>
      </w:r>
      <w:r>
        <w:rPr>
          <w:spacing w:val="-5"/>
        </w:rPr>
        <w:t xml:space="preserve">居民身份证原件于投标截止时间前到达开标现场并签到、递交书面投标资料， </w:t>
      </w:r>
      <w:r>
        <w:rPr>
          <w:spacing w:val="-4"/>
        </w:rPr>
        <w:t>否则，视为该投标人自动放弃该项目的投标，其投标书招标人不予受理。</w:t>
      </w:r>
    </w:p>
    <w:p>
      <w:pPr>
        <w:pStyle w:val="7"/>
        <w:spacing w:line="269" w:lineRule="exact"/>
        <w:ind w:left="1080"/>
      </w:pPr>
      <w:r>
        <w:t>七、开标（包括资格后审）时间、地点：详见招标文件前附表。</w:t>
      </w:r>
    </w:p>
    <w:p>
      <w:pPr>
        <w:pStyle w:val="7"/>
        <w:spacing w:before="10"/>
        <w:rPr>
          <w:sz w:val="14"/>
        </w:rPr>
      </w:pPr>
    </w:p>
    <w:p>
      <w:pPr>
        <w:pStyle w:val="7"/>
        <w:ind w:left="1080"/>
      </w:pPr>
      <w:r>
        <w:t>八、任何不符合招标公告（包括附件）要求的情形均视为资格后审不合格。</w:t>
      </w:r>
    </w:p>
    <w:p/>
    <w:p>
      <w:pPr>
        <w:pStyle w:val="7"/>
        <w:spacing w:before="59"/>
        <w:ind w:firstLine="1050" w:firstLineChars="500"/>
      </w:pPr>
      <w:r>
        <w:t>备注：</w:t>
      </w:r>
    </w:p>
    <w:p>
      <w:pPr>
        <w:pStyle w:val="7"/>
        <w:spacing w:before="12"/>
        <w:rPr>
          <w:sz w:val="14"/>
        </w:rPr>
      </w:pPr>
    </w:p>
    <w:p>
      <w:pPr>
        <w:spacing w:line="410" w:lineRule="auto"/>
        <w:ind w:left="660" w:right="674" w:firstLine="419"/>
        <w:jc w:val="both"/>
        <w:rPr>
          <w:rFonts w:hint="default" w:eastAsia="宋体"/>
          <w:sz w:val="21"/>
          <w:lang w:val="en-US" w:eastAsia="zh-CN"/>
        </w:rPr>
      </w:pPr>
      <w:r>
        <w:rPr>
          <w:sz w:val="21"/>
        </w:rPr>
        <w:t>1</w:t>
      </w:r>
      <w:r>
        <w:rPr>
          <w:spacing w:val="-3"/>
          <w:sz w:val="21"/>
        </w:rPr>
        <w:t>、</w:t>
      </w:r>
      <w:r>
        <w:rPr>
          <w:rFonts w:hint="eastAsia"/>
          <w:spacing w:val="-3"/>
          <w:sz w:val="21"/>
        </w:rPr>
        <w:t>图纸答疑及现场考察</w:t>
      </w:r>
      <w:r>
        <w:rPr>
          <w:rFonts w:hint="eastAsia"/>
          <w:spacing w:val="-3"/>
          <w:sz w:val="21"/>
          <w:lang w:val="en-US" w:eastAsia="zh-CN"/>
        </w:rPr>
        <w:t>时间请提前预约。</w:t>
      </w:r>
    </w:p>
    <w:p>
      <w:pPr>
        <w:pStyle w:val="7"/>
        <w:spacing w:line="269" w:lineRule="exact"/>
        <w:ind w:left="1080"/>
        <w:jc w:val="both"/>
      </w:pPr>
      <w:r>
        <w:t>2、招标文件自由下载</w:t>
      </w:r>
      <w:r>
        <w:rPr>
          <w:rFonts w:hint="eastAsia"/>
          <w:lang w:eastAsia="zh-CN"/>
        </w:rPr>
        <w:t>。</w:t>
      </w:r>
    </w:p>
    <w:p>
      <w:pPr>
        <w:pStyle w:val="7"/>
        <w:spacing w:before="10"/>
        <w:rPr>
          <w:sz w:val="14"/>
        </w:rPr>
      </w:pPr>
    </w:p>
    <w:p>
      <w:pPr>
        <w:pStyle w:val="7"/>
        <w:ind w:left="1080"/>
      </w:pPr>
      <w:r>
        <w:t>3、本工程不满 3 家投标单位，招标人将重新组织招标。</w:t>
      </w:r>
    </w:p>
    <w:p>
      <w:pPr>
        <w:pStyle w:val="7"/>
        <w:rPr>
          <w:sz w:val="15"/>
        </w:rPr>
      </w:pPr>
    </w:p>
    <w:p>
      <w:pPr>
        <w:pStyle w:val="7"/>
        <w:ind w:left="1080"/>
      </w:pPr>
      <w:r>
        <w:t>4、本工程的设计单位不得参与工程施工招标。</w:t>
      </w:r>
    </w:p>
    <w:p>
      <w:pPr>
        <w:pStyle w:val="7"/>
        <w:rPr>
          <w:sz w:val="15"/>
        </w:rPr>
      </w:pPr>
    </w:p>
    <w:p>
      <w:pPr>
        <w:pStyle w:val="7"/>
        <w:spacing w:line="410" w:lineRule="auto"/>
        <w:ind w:left="660" w:right="565" w:firstLine="419"/>
      </w:pPr>
      <w:r>
        <w:t>5</w:t>
      </w:r>
      <w:r>
        <w:rPr>
          <w:spacing w:val="-3"/>
        </w:rPr>
        <w:t>、本工程所有的资审资料都必须在有效期内。如有关的资审资料在年审中的，开标时</w:t>
      </w:r>
      <w:r>
        <w:rPr>
          <w:spacing w:val="-15"/>
        </w:rPr>
        <w:t>必须出具发证单位证明的原件。</w:t>
      </w:r>
    </w:p>
    <w:p>
      <w:pPr>
        <w:pStyle w:val="7"/>
        <w:spacing w:line="269" w:lineRule="exact"/>
        <w:ind w:left="1080"/>
      </w:pPr>
      <w:r>
        <w:t>6、评分办法以招标公告为准。</w:t>
      </w:r>
    </w:p>
    <w:p>
      <w:pPr>
        <w:pStyle w:val="7"/>
        <w:spacing w:before="10"/>
        <w:rPr>
          <w:sz w:val="14"/>
        </w:rPr>
      </w:pPr>
    </w:p>
    <w:p>
      <w:pPr>
        <w:pStyle w:val="7"/>
        <w:ind w:left="1080"/>
        <w:sectPr>
          <w:pgSz w:w="11910" w:h="16840"/>
          <w:pgMar w:top="1520" w:right="1120" w:bottom="280" w:left="1140" w:header="720" w:footer="720" w:gutter="0"/>
          <w:cols w:space="720" w:num="1"/>
        </w:sectPr>
      </w:pPr>
      <w:r>
        <w:t>7、项目报名成功以</w:t>
      </w:r>
      <w:r>
        <w:rPr>
          <w:rFonts w:hint="eastAsia"/>
          <w:lang w:eastAsia="zh-CN"/>
        </w:rPr>
        <w:t>投标保证金打款凭证截图发给联系人石小姐为准。</w:t>
      </w:r>
    </w:p>
    <w:p>
      <w:pPr>
        <w:pStyle w:val="5"/>
        <w:spacing w:before="49"/>
      </w:pPr>
      <w:r>
        <w:t>附件</w:t>
      </w:r>
      <w:r>
        <w:rPr>
          <w:rFonts w:hint="eastAsia"/>
          <w:lang w:val="en-US" w:eastAsia="zh-CN"/>
        </w:rPr>
        <w:t>3</w:t>
      </w:r>
      <w:r>
        <w:t>：</w:t>
      </w:r>
    </w:p>
    <w:p>
      <w:pPr>
        <w:pStyle w:val="7"/>
        <w:spacing w:before="6"/>
        <w:jc w:val="center"/>
        <w:rPr>
          <w:rFonts w:hint="eastAsia"/>
          <w:b/>
          <w:sz w:val="32"/>
          <w:lang w:val="en-US" w:eastAsia="zh-CN"/>
        </w:rPr>
      </w:pPr>
      <w:r>
        <w:rPr>
          <w:b/>
          <w:sz w:val="32"/>
        </w:rPr>
        <w:t>评</w:t>
      </w:r>
      <w:r>
        <w:rPr>
          <w:b/>
          <w:sz w:val="32"/>
        </w:rPr>
        <w:tab/>
      </w:r>
      <w:r>
        <w:rPr>
          <w:b/>
          <w:sz w:val="32"/>
        </w:rPr>
        <w:t>标</w:t>
      </w:r>
      <w:r>
        <w:rPr>
          <w:b/>
          <w:sz w:val="32"/>
        </w:rPr>
        <w:tab/>
      </w:r>
      <w:r>
        <w:rPr>
          <w:b/>
          <w:sz w:val="32"/>
        </w:rPr>
        <w:t>细</w:t>
      </w:r>
      <w:r>
        <w:rPr>
          <w:b/>
          <w:sz w:val="32"/>
        </w:rPr>
        <w:tab/>
      </w:r>
      <w:r>
        <w:rPr>
          <w:rFonts w:hint="eastAsia"/>
          <w:b/>
          <w:sz w:val="32"/>
          <w:lang w:val="en-US" w:eastAsia="zh-CN"/>
        </w:rPr>
        <w:t>则</w:t>
      </w:r>
    </w:p>
    <w:p>
      <w:pPr>
        <w:pStyle w:val="7"/>
        <w:spacing w:before="3"/>
        <w:rPr>
          <w:b/>
          <w:sz w:val="15"/>
        </w:rPr>
      </w:pPr>
    </w:p>
    <w:p>
      <w:pPr>
        <w:pStyle w:val="7"/>
        <w:spacing w:before="71" w:line="408" w:lineRule="auto"/>
        <w:ind w:left="660" w:right="1417" w:firstLine="419"/>
        <w:rPr>
          <w:rFonts w:hint="eastAsia"/>
        </w:rPr>
      </w:pPr>
      <w:r>
        <w:t>本着公平、公正、公开的原则对各投标单位投标文件中的文件进行综合评分。具体办法如下： (共计 100 分)</w:t>
      </w:r>
    </w:p>
    <w:p>
      <w:pPr>
        <w:pStyle w:val="7"/>
        <w:spacing w:before="71" w:line="408" w:lineRule="auto"/>
        <w:ind w:left="660" w:right="1417" w:firstLine="419"/>
        <w:rPr>
          <w:rFonts w:hint="eastAsia"/>
          <w:b/>
          <w:lang w:eastAsia="zh-CN"/>
        </w:rPr>
      </w:pPr>
      <w:r>
        <w:rPr>
          <w:rFonts w:hint="eastAsia"/>
          <w:b/>
        </w:rPr>
        <w:t>本工程</w:t>
      </w:r>
      <w:r>
        <w:rPr>
          <w:rFonts w:hint="eastAsia"/>
          <w:b/>
          <w:lang w:eastAsia="zh-CN"/>
        </w:rPr>
        <w:t>评标方式为：最低价中标，</w:t>
      </w:r>
    </w:p>
    <w:p>
      <w:pPr>
        <w:pStyle w:val="7"/>
        <w:spacing w:before="71" w:line="408" w:lineRule="auto"/>
        <w:ind w:left="660" w:right="1417" w:firstLine="419"/>
        <w:rPr>
          <w:rFonts w:hint="default"/>
          <w:b/>
          <w:lang w:val="en-US" w:eastAsia="zh-CN"/>
        </w:rPr>
      </w:pPr>
      <w:r>
        <w:rPr>
          <w:rFonts w:hint="eastAsia"/>
          <w:b/>
          <w:lang w:eastAsia="zh-CN"/>
        </w:rPr>
        <w:t>本工程结算方式为：投标清单内工程单价不变，总价包干。超出或增加工程量按实际施工面积审计结算。</w:t>
      </w:r>
    </w:p>
    <w:p>
      <w:pPr>
        <w:pStyle w:val="7"/>
        <w:spacing w:before="71" w:line="408" w:lineRule="auto"/>
        <w:ind w:left="660" w:right="1417" w:firstLine="419"/>
        <w:rPr>
          <w:b/>
        </w:rPr>
      </w:pPr>
      <w:r>
        <w:rPr>
          <w:rFonts w:hint="eastAsia"/>
          <w:b/>
        </w:rPr>
        <w:t>报价</w:t>
      </w:r>
      <w:r>
        <w:rPr>
          <w:rFonts w:hint="eastAsia"/>
          <w:b/>
          <w:lang w:eastAsia="zh-CN"/>
        </w:rPr>
        <w:t>清单含</w:t>
      </w:r>
      <w:r>
        <w:rPr>
          <w:rFonts w:hint="eastAsia"/>
          <w:b/>
        </w:rPr>
        <w:t>盖范围：包</w:t>
      </w:r>
      <w:r>
        <w:rPr>
          <w:rFonts w:hint="eastAsia"/>
          <w:b/>
          <w:lang w:eastAsia="zh-CN"/>
        </w:rPr>
        <w:t>含项目所有拆除，砌墙。铝合金门窗等。</w:t>
      </w:r>
    </w:p>
    <w:p>
      <w:pPr>
        <w:pStyle w:val="7"/>
        <w:spacing w:before="5"/>
        <w:ind w:left="660"/>
      </w:pPr>
      <w:r>
        <w:t>一、信用考评分 （</w:t>
      </w:r>
      <w:r>
        <w:rPr>
          <w:rFonts w:hint="eastAsia"/>
          <w:lang w:eastAsia="zh-CN"/>
        </w:rPr>
        <w:t>占比20%最高分20分</w:t>
      </w:r>
      <w:r>
        <w:t>）</w:t>
      </w:r>
    </w:p>
    <w:p>
      <w:pPr>
        <w:pStyle w:val="7"/>
        <w:spacing w:before="12"/>
        <w:rPr>
          <w:sz w:val="14"/>
        </w:rPr>
      </w:pPr>
    </w:p>
    <w:p>
      <w:pPr>
        <w:pStyle w:val="7"/>
        <w:spacing w:line="410" w:lineRule="auto"/>
        <w:ind w:left="660" w:right="671"/>
      </w:pPr>
      <w:r>
        <w:t>1</w:t>
      </w:r>
      <w:r>
        <w:rPr>
          <w:spacing w:val="-3"/>
        </w:rPr>
        <w:t>、</w:t>
      </w:r>
      <w:r>
        <w:rPr>
          <w:rFonts w:hint="eastAsia"/>
          <w:spacing w:val="-3"/>
        </w:rPr>
        <w:t>根据企业以往的业绩评标委员会进行打分。</w:t>
      </w:r>
    </w:p>
    <w:p>
      <w:pPr>
        <w:pStyle w:val="17"/>
        <w:numPr>
          <w:ilvl w:val="0"/>
          <w:numId w:val="4"/>
        </w:numPr>
        <w:tabs>
          <w:tab w:val="left" w:pos="1190"/>
        </w:tabs>
        <w:spacing w:before="4" w:line="410" w:lineRule="auto"/>
        <w:ind w:right="671" w:firstLine="0"/>
        <w:jc w:val="both"/>
        <w:rPr>
          <w:sz w:val="21"/>
        </w:rPr>
      </w:pPr>
      <w:r>
        <w:rPr>
          <w:spacing w:val="-11"/>
          <w:sz w:val="21"/>
        </w:rPr>
        <w:t>上述业绩：提供</w:t>
      </w:r>
      <w:r>
        <w:rPr>
          <w:rFonts w:hint="eastAsia"/>
          <w:spacing w:val="-11"/>
          <w:sz w:val="21"/>
          <w:lang w:eastAsia="zh-CN"/>
        </w:rPr>
        <w:t>合同复印件</w:t>
      </w:r>
    </w:p>
    <w:p>
      <w:pPr>
        <w:pStyle w:val="7"/>
        <w:ind w:left="660"/>
      </w:pPr>
      <w:r>
        <w:t>④获奖证书</w:t>
      </w:r>
      <w:r>
        <w:rPr>
          <w:rFonts w:hint="eastAsia"/>
        </w:rPr>
        <w:t>复印</w:t>
      </w:r>
      <w:r>
        <w:t>件或表彰文件</w:t>
      </w:r>
      <w:r>
        <w:rPr>
          <w:rFonts w:hint="eastAsia"/>
        </w:rPr>
        <w:t>复印</w:t>
      </w:r>
      <w:r>
        <w:t>件</w:t>
      </w:r>
    </w:p>
    <w:p>
      <w:pPr>
        <w:pStyle w:val="7"/>
        <w:rPr>
          <w:sz w:val="15"/>
        </w:rPr>
      </w:pPr>
    </w:p>
    <w:p>
      <w:pPr>
        <w:pStyle w:val="7"/>
        <w:spacing w:before="4" w:line="410" w:lineRule="auto"/>
        <w:ind w:left="660" w:right="673"/>
      </w:pPr>
      <w:r>
        <w:rPr>
          <w:spacing w:val="-6"/>
        </w:rPr>
        <w:t xml:space="preserve">二、商务标： </w:t>
      </w:r>
      <w:r>
        <w:t>(</w:t>
      </w:r>
      <w:r>
        <w:rPr>
          <w:rFonts w:hint="eastAsia"/>
          <w:lang w:eastAsia="zh-CN"/>
        </w:rPr>
        <w:t>占比80%最高分80</w:t>
      </w:r>
      <w:r>
        <w:rPr>
          <w:spacing w:val="-1"/>
        </w:rPr>
        <w:t xml:space="preserve"> 分) </w:t>
      </w:r>
    </w:p>
    <w:p>
      <w:pPr>
        <w:pStyle w:val="7"/>
        <w:spacing w:line="410" w:lineRule="auto"/>
        <w:ind w:left="871" w:right="3938"/>
      </w:pPr>
      <w:r>
        <w:t>第一步：投标文件能够满足招标文件的实质性要求； 第二步：清标，商务标符合招标文件的实质性要求</w:t>
      </w:r>
    </w:p>
    <w:p>
      <w:pPr>
        <w:pStyle w:val="7"/>
        <w:keepNext w:val="0"/>
        <w:keepLines w:val="0"/>
        <w:pageBreakBefore w:val="0"/>
        <w:widowControl w:val="0"/>
        <w:kinsoku/>
        <w:wordWrap/>
        <w:overflowPunct/>
        <w:topLinePunct w:val="0"/>
        <w:autoSpaceDE w:val="0"/>
        <w:autoSpaceDN w:val="0"/>
        <w:bidi w:val="0"/>
        <w:adjustRightInd/>
        <w:snapToGrid/>
        <w:spacing w:before="59" w:line="411" w:lineRule="auto"/>
        <w:ind w:right="0" w:firstLine="840" w:firstLineChars="400"/>
        <w:textAlignment w:val="auto"/>
      </w:pPr>
      <w:r>
        <w:t>第三步：投标报价得分</w:t>
      </w:r>
    </w:p>
    <w:p>
      <w:pPr>
        <w:pStyle w:val="7"/>
        <w:keepNext w:val="0"/>
        <w:keepLines w:val="0"/>
        <w:pageBreakBefore w:val="0"/>
        <w:widowControl w:val="0"/>
        <w:kinsoku/>
        <w:wordWrap/>
        <w:overflowPunct/>
        <w:topLinePunct w:val="0"/>
        <w:autoSpaceDE w:val="0"/>
        <w:autoSpaceDN w:val="0"/>
        <w:bidi w:val="0"/>
        <w:adjustRightInd/>
        <w:snapToGrid/>
        <w:spacing w:before="59" w:line="411" w:lineRule="auto"/>
        <w:ind w:right="0" w:firstLine="840" w:firstLineChars="400"/>
        <w:textAlignment w:val="auto"/>
      </w:pPr>
      <w:r>
        <w:t>1、确定有效投标报价</w:t>
      </w:r>
    </w:p>
    <w:p>
      <w:pPr>
        <w:pStyle w:val="7"/>
        <w:spacing w:line="410" w:lineRule="auto"/>
        <w:ind w:left="660" w:right="671" w:firstLine="419"/>
      </w:pPr>
      <w:r>
        <w:rPr>
          <w:spacing w:val="-11"/>
        </w:rPr>
        <w:t>凡符合招标文件、</w:t>
      </w:r>
      <w:r>
        <w:t>招标答疑纪要等有关招标实质性要求，且在招标控制价以下的投报价均为有效投标报价。未能实质性响应上述有关招标要求的投标文件为废标。</w:t>
      </w:r>
    </w:p>
    <w:p>
      <w:pPr>
        <w:pStyle w:val="7"/>
        <w:keepNext w:val="0"/>
        <w:keepLines w:val="0"/>
        <w:pageBreakBefore w:val="0"/>
        <w:widowControl w:val="0"/>
        <w:kinsoku/>
        <w:wordWrap/>
        <w:overflowPunct/>
        <w:topLinePunct w:val="0"/>
        <w:autoSpaceDE w:val="0"/>
        <w:autoSpaceDN w:val="0"/>
        <w:bidi w:val="0"/>
        <w:adjustRightInd/>
        <w:snapToGrid/>
        <w:spacing w:before="59" w:line="411" w:lineRule="auto"/>
        <w:ind w:right="0" w:firstLine="840" w:firstLineChars="400"/>
        <w:textAlignment w:val="auto"/>
      </w:pPr>
      <w:r>
        <w:rPr>
          <w:rFonts w:hint="eastAsia"/>
          <w:lang w:val="en-US" w:eastAsia="zh-CN"/>
        </w:rPr>
        <w:t>2、</w:t>
      </w:r>
      <w:r>
        <w:t>打分</w:t>
      </w:r>
    </w:p>
    <w:p>
      <w:pPr>
        <w:pStyle w:val="7"/>
        <w:spacing w:before="10"/>
        <w:rPr>
          <w:sz w:val="14"/>
        </w:rPr>
      </w:pPr>
    </w:p>
    <w:p>
      <w:pPr>
        <w:pStyle w:val="7"/>
        <w:keepNext w:val="0"/>
        <w:keepLines w:val="0"/>
        <w:pageBreakBefore w:val="0"/>
        <w:widowControl w:val="0"/>
        <w:kinsoku/>
        <w:wordWrap/>
        <w:overflowPunct/>
        <w:topLinePunct w:val="0"/>
        <w:autoSpaceDE w:val="0"/>
        <w:autoSpaceDN w:val="0"/>
        <w:bidi w:val="0"/>
        <w:adjustRightInd/>
        <w:snapToGrid/>
        <w:spacing w:line="411" w:lineRule="auto"/>
        <w:ind w:left="253" w:leftChars="115" w:right="257" w:rightChars="117" w:firstLine="575" w:firstLineChars="274"/>
        <w:jc w:val="both"/>
        <w:textAlignment w:val="auto"/>
        <w:rPr>
          <w:rFonts w:hint="eastAsia"/>
        </w:rPr>
      </w:pPr>
      <w:r>
        <w:t>经评审的</w:t>
      </w:r>
      <w:r>
        <w:rPr>
          <w:rFonts w:hint="eastAsia"/>
        </w:rPr>
        <w:t>最</w:t>
      </w:r>
      <w:r>
        <w:t>低投标价格得最高分</w:t>
      </w:r>
      <w:r>
        <w:rPr>
          <w:rFonts w:hint="eastAsia"/>
        </w:rPr>
        <w:t>(40-70 分</w:t>
      </w:r>
      <w:r>
        <w:t>），并以合理性分析打分最高10</w:t>
      </w:r>
      <w:r>
        <w:rPr>
          <w:rFonts w:hint="eastAsia"/>
        </w:rPr>
        <w:t>分。</w:t>
      </w:r>
    </w:p>
    <w:p>
      <w:pPr>
        <w:pStyle w:val="7"/>
        <w:spacing w:line="410" w:lineRule="auto"/>
        <w:ind w:right="671" w:firstLine="1265" w:firstLineChars="600"/>
        <w:jc w:val="both"/>
      </w:pPr>
      <w:r>
        <w:rPr>
          <w:b/>
        </w:rPr>
        <w:t>评标细则使用说明：</w:t>
      </w:r>
    </w:p>
    <w:p>
      <w:pPr>
        <w:pStyle w:val="6"/>
        <w:spacing w:line="410" w:lineRule="auto"/>
        <w:rPr>
          <w:rFonts w:hint="eastAsia"/>
        </w:rPr>
      </w:pPr>
      <w:r>
        <w:t>1、评标程序： 1）清标； 2）经济标评审； 3）信用考评得分； 4）汇总得分； 5） 定标。</w:t>
      </w:r>
    </w:p>
    <w:p>
      <w:pPr>
        <w:numPr>
          <w:ilvl w:val="0"/>
          <w:numId w:val="5"/>
        </w:numPr>
        <w:spacing w:line="410" w:lineRule="auto"/>
        <w:ind w:left="1020" w:leftChars="0" w:hanging="360" w:firstLineChars="0"/>
        <w:rPr>
          <w:rFonts w:hint="eastAsia"/>
          <w:b/>
          <w:lang w:val="en-US" w:eastAsia="zh-CN"/>
        </w:rPr>
      </w:pPr>
      <w:r>
        <w:rPr>
          <w:rFonts w:hint="eastAsia"/>
          <w:b/>
        </w:rPr>
        <w:t>评标部门为九如城广东区域公司总经办、财务部、投资发展部、运营部、工程</w:t>
      </w:r>
      <w:r>
        <w:rPr>
          <w:rFonts w:hint="eastAsia"/>
          <w:b/>
          <w:lang w:val="en-US" w:eastAsia="zh-CN"/>
        </w:rPr>
        <w:t>部。</w:t>
      </w:r>
    </w:p>
    <w:p>
      <w:pPr>
        <w:widowControl w:val="0"/>
        <w:numPr>
          <w:ilvl w:val="0"/>
          <w:numId w:val="0"/>
        </w:numPr>
        <w:autoSpaceDE w:val="0"/>
        <w:autoSpaceDN w:val="0"/>
        <w:spacing w:line="410" w:lineRule="auto"/>
        <w:rPr>
          <w:rFonts w:hint="eastAsia"/>
          <w:b/>
          <w:lang w:val="en-US" w:eastAsia="zh-CN"/>
        </w:rPr>
      </w:pPr>
    </w:p>
    <w:p>
      <w:pPr>
        <w:widowControl w:val="0"/>
        <w:numPr>
          <w:ilvl w:val="0"/>
          <w:numId w:val="0"/>
        </w:numPr>
        <w:autoSpaceDE w:val="0"/>
        <w:autoSpaceDN w:val="0"/>
        <w:spacing w:line="410" w:lineRule="auto"/>
        <w:rPr>
          <w:rFonts w:hint="eastAsia"/>
          <w:b/>
          <w:lang w:val="en-US" w:eastAsia="zh-CN"/>
        </w:rPr>
      </w:pPr>
    </w:p>
    <w:p>
      <w:pPr>
        <w:widowControl w:val="0"/>
        <w:numPr>
          <w:ilvl w:val="0"/>
          <w:numId w:val="0"/>
        </w:numPr>
        <w:autoSpaceDE w:val="0"/>
        <w:autoSpaceDN w:val="0"/>
        <w:spacing w:line="410" w:lineRule="auto"/>
        <w:rPr>
          <w:rFonts w:hint="eastAsia"/>
          <w:b/>
          <w:lang w:val="en-US" w:eastAsia="zh-CN"/>
        </w:rPr>
      </w:pPr>
    </w:p>
    <w:p>
      <w:pPr>
        <w:widowControl w:val="0"/>
        <w:numPr>
          <w:ilvl w:val="0"/>
          <w:numId w:val="0"/>
        </w:numPr>
        <w:autoSpaceDE w:val="0"/>
        <w:autoSpaceDN w:val="0"/>
        <w:spacing w:line="410" w:lineRule="auto"/>
        <w:rPr>
          <w:rFonts w:hint="eastAsia"/>
          <w:b/>
          <w:lang w:val="en-US" w:eastAsia="zh-CN"/>
        </w:rPr>
      </w:pPr>
    </w:p>
    <w:p>
      <w:pPr>
        <w:widowControl w:val="0"/>
        <w:numPr>
          <w:ilvl w:val="0"/>
          <w:numId w:val="0"/>
        </w:numPr>
        <w:autoSpaceDE w:val="0"/>
        <w:autoSpaceDN w:val="0"/>
        <w:spacing w:line="410" w:lineRule="auto"/>
        <w:rPr>
          <w:rFonts w:hint="eastAsia"/>
          <w:b/>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71BCEB"/>
    <w:multiLevelType w:val="multilevel"/>
    <w:tmpl w:val="5D71BCEB"/>
    <w:lvl w:ilvl="0" w:tentative="0">
      <w:start w:val="3"/>
      <w:numFmt w:val="decimal"/>
      <w:lvlText w:val="%1."/>
      <w:lvlJc w:val="left"/>
      <w:pPr>
        <w:ind w:left="1380" w:hanging="240"/>
        <w:jc w:val="left"/>
      </w:pPr>
      <w:rPr>
        <w:rFonts w:hint="default" w:ascii="Times New Roman" w:hAnsi="Times New Roman" w:eastAsia="Times New Roman" w:cs="Times New Roman"/>
        <w:w w:val="100"/>
        <w:sz w:val="24"/>
        <w:szCs w:val="24"/>
        <w:lang w:val="zh-CN" w:eastAsia="zh-CN" w:bidi="zh-CN"/>
      </w:rPr>
    </w:lvl>
    <w:lvl w:ilvl="1" w:tentative="0">
      <w:start w:val="2"/>
      <w:numFmt w:val="decimal"/>
      <w:lvlText w:val="%1.%2"/>
      <w:lvlJc w:val="left"/>
      <w:pPr>
        <w:ind w:left="1500" w:hanging="360"/>
        <w:jc w:val="left"/>
      </w:pPr>
      <w:rPr>
        <w:rFonts w:hint="default" w:ascii="Times New Roman" w:hAnsi="Times New Roman" w:eastAsia="Times New Roman" w:cs="Times New Roman"/>
        <w:spacing w:val="-1"/>
        <w:w w:val="99"/>
        <w:sz w:val="24"/>
        <w:szCs w:val="24"/>
        <w:lang w:val="zh-CN" w:eastAsia="zh-CN" w:bidi="zh-CN"/>
      </w:rPr>
    </w:lvl>
    <w:lvl w:ilvl="2" w:tentative="0">
      <w:start w:val="0"/>
      <w:numFmt w:val="bullet"/>
      <w:lvlText w:val="•"/>
      <w:lvlJc w:val="left"/>
      <w:pPr>
        <w:ind w:left="2405" w:hanging="360"/>
      </w:pPr>
      <w:rPr>
        <w:rFonts w:hint="default"/>
        <w:lang w:val="zh-CN" w:eastAsia="zh-CN" w:bidi="zh-CN"/>
      </w:rPr>
    </w:lvl>
    <w:lvl w:ilvl="3" w:tentative="0">
      <w:start w:val="0"/>
      <w:numFmt w:val="bullet"/>
      <w:lvlText w:val="•"/>
      <w:lvlJc w:val="left"/>
      <w:pPr>
        <w:ind w:left="3310" w:hanging="360"/>
      </w:pPr>
      <w:rPr>
        <w:rFonts w:hint="default"/>
        <w:lang w:val="zh-CN" w:eastAsia="zh-CN" w:bidi="zh-CN"/>
      </w:rPr>
    </w:lvl>
    <w:lvl w:ilvl="4" w:tentative="0">
      <w:start w:val="0"/>
      <w:numFmt w:val="bullet"/>
      <w:lvlText w:val="•"/>
      <w:lvlJc w:val="left"/>
      <w:pPr>
        <w:ind w:left="4215" w:hanging="360"/>
      </w:pPr>
      <w:rPr>
        <w:rFonts w:hint="default"/>
        <w:lang w:val="zh-CN" w:eastAsia="zh-CN" w:bidi="zh-CN"/>
      </w:rPr>
    </w:lvl>
    <w:lvl w:ilvl="5" w:tentative="0">
      <w:start w:val="0"/>
      <w:numFmt w:val="bullet"/>
      <w:lvlText w:val="•"/>
      <w:lvlJc w:val="left"/>
      <w:pPr>
        <w:ind w:left="5120" w:hanging="360"/>
      </w:pPr>
      <w:rPr>
        <w:rFonts w:hint="default"/>
        <w:lang w:val="zh-CN" w:eastAsia="zh-CN" w:bidi="zh-CN"/>
      </w:rPr>
    </w:lvl>
    <w:lvl w:ilvl="6" w:tentative="0">
      <w:start w:val="0"/>
      <w:numFmt w:val="bullet"/>
      <w:lvlText w:val="•"/>
      <w:lvlJc w:val="left"/>
      <w:pPr>
        <w:ind w:left="6025" w:hanging="360"/>
      </w:pPr>
      <w:rPr>
        <w:rFonts w:hint="default"/>
        <w:lang w:val="zh-CN" w:eastAsia="zh-CN" w:bidi="zh-CN"/>
      </w:rPr>
    </w:lvl>
    <w:lvl w:ilvl="7" w:tentative="0">
      <w:start w:val="0"/>
      <w:numFmt w:val="bullet"/>
      <w:lvlText w:val="•"/>
      <w:lvlJc w:val="left"/>
      <w:pPr>
        <w:ind w:left="6930" w:hanging="360"/>
      </w:pPr>
      <w:rPr>
        <w:rFonts w:hint="default"/>
        <w:lang w:val="zh-CN" w:eastAsia="zh-CN" w:bidi="zh-CN"/>
      </w:rPr>
    </w:lvl>
    <w:lvl w:ilvl="8" w:tentative="0">
      <w:start w:val="0"/>
      <w:numFmt w:val="bullet"/>
      <w:lvlText w:val="•"/>
      <w:lvlJc w:val="left"/>
      <w:pPr>
        <w:ind w:left="7836" w:hanging="360"/>
      </w:pPr>
      <w:rPr>
        <w:rFonts w:hint="default"/>
        <w:lang w:val="zh-CN" w:eastAsia="zh-CN" w:bidi="zh-CN"/>
      </w:rPr>
    </w:lvl>
  </w:abstractNum>
  <w:abstractNum w:abstractNumId="1">
    <w:nsid w:val="5D71BCF6"/>
    <w:multiLevelType w:val="multilevel"/>
    <w:tmpl w:val="5D71BCF6"/>
    <w:lvl w:ilvl="0" w:tentative="0">
      <w:start w:val="1"/>
      <w:numFmt w:val="decimal"/>
      <w:lvlText w:val="（%1）"/>
      <w:lvlJc w:val="left"/>
      <w:pPr>
        <w:ind w:left="1609" w:hanging="529"/>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2404" w:hanging="529"/>
      </w:pPr>
      <w:rPr>
        <w:rFonts w:hint="default"/>
        <w:lang w:val="zh-CN" w:eastAsia="zh-CN" w:bidi="zh-CN"/>
      </w:rPr>
    </w:lvl>
    <w:lvl w:ilvl="2" w:tentative="0">
      <w:start w:val="0"/>
      <w:numFmt w:val="bullet"/>
      <w:lvlText w:val="•"/>
      <w:lvlJc w:val="left"/>
      <w:pPr>
        <w:ind w:left="3209" w:hanging="529"/>
      </w:pPr>
      <w:rPr>
        <w:rFonts w:hint="default"/>
        <w:lang w:val="zh-CN" w:eastAsia="zh-CN" w:bidi="zh-CN"/>
      </w:rPr>
    </w:lvl>
    <w:lvl w:ilvl="3" w:tentative="0">
      <w:start w:val="0"/>
      <w:numFmt w:val="bullet"/>
      <w:lvlText w:val="•"/>
      <w:lvlJc w:val="left"/>
      <w:pPr>
        <w:ind w:left="4013" w:hanging="529"/>
      </w:pPr>
      <w:rPr>
        <w:rFonts w:hint="default"/>
        <w:lang w:val="zh-CN" w:eastAsia="zh-CN" w:bidi="zh-CN"/>
      </w:rPr>
    </w:lvl>
    <w:lvl w:ilvl="4" w:tentative="0">
      <w:start w:val="0"/>
      <w:numFmt w:val="bullet"/>
      <w:lvlText w:val="•"/>
      <w:lvlJc w:val="left"/>
      <w:pPr>
        <w:ind w:left="4818" w:hanging="529"/>
      </w:pPr>
      <w:rPr>
        <w:rFonts w:hint="default"/>
        <w:lang w:val="zh-CN" w:eastAsia="zh-CN" w:bidi="zh-CN"/>
      </w:rPr>
    </w:lvl>
    <w:lvl w:ilvl="5" w:tentative="0">
      <w:start w:val="0"/>
      <w:numFmt w:val="bullet"/>
      <w:lvlText w:val="•"/>
      <w:lvlJc w:val="left"/>
      <w:pPr>
        <w:ind w:left="5623" w:hanging="529"/>
      </w:pPr>
      <w:rPr>
        <w:rFonts w:hint="default"/>
        <w:lang w:val="zh-CN" w:eastAsia="zh-CN" w:bidi="zh-CN"/>
      </w:rPr>
    </w:lvl>
    <w:lvl w:ilvl="6" w:tentative="0">
      <w:start w:val="0"/>
      <w:numFmt w:val="bullet"/>
      <w:lvlText w:val="•"/>
      <w:lvlJc w:val="left"/>
      <w:pPr>
        <w:ind w:left="6427" w:hanging="529"/>
      </w:pPr>
      <w:rPr>
        <w:rFonts w:hint="default"/>
        <w:lang w:val="zh-CN" w:eastAsia="zh-CN" w:bidi="zh-CN"/>
      </w:rPr>
    </w:lvl>
    <w:lvl w:ilvl="7" w:tentative="0">
      <w:start w:val="0"/>
      <w:numFmt w:val="bullet"/>
      <w:lvlText w:val="•"/>
      <w:lvlJc w:val="left"/>
      <w:pPr>
        <w:ind w:left="7232" w:hanging="529"/>
      </w:pPr>
      <w:rPr>
        <w:rFonts w:hint="default"/>
        <w:lang w:val="zh-CN" w:eastAsia="zh-CN" w:bidi="zh-CN"/>
      </w:rPr>
    </w:lvl>
    <w:lvl w:ilvl="8" w:tentative="0">
      <w:start w:val="0"/>
      <w:numFmt w:val="bullet"/>
      <w:lvlText w:val="•"/>
      <w:lvlJc w:val="left"/>
      <w:pPr>
        <w:ind w:left="8037" w:hanging="529"/>
      </w:pPr>
      <w:rPr>
        <w:rFonts w:hint="default"/>
        <w:lang w:val="zh-CN" w:eastAsia="zh-CN" w:bidi="zh-CN"/>
      </w:rPr>
    </w:lvl>
  </w:abstractNum>
  <w:abstractNum w:abstractNumId="2">
    <w:nsid w:val="5D71BD01"/>
    <w:multiLevelType w:val="multilevel"/>
    <w:tmpl w:val="5D71BD01"/>
    <w:lvl w:ilvl="0" w:tentative="0">
      <w:start w:val="1"/>
      <w:numFmt w:val="lowerLetter"/>
      <w:lvlText w:val="%1."/>
      <w:lvlJc w:val="left"/>
      <w:pPr>
        <w:ind w:left="1339" w:hanging="260"/>
        <w:jc w:val="left"/>
      </w:pPr>
      <w:rPr>
        <w:rFonts w:hint="default" w:ascii="Calibri" w:hAnsi="Calibri" w:eastAsia="Calibri" w:cs="Calibri"/>
        <w:spacing w:val="-1"/>
        <w:w w:val="100"/>
        <w:sz w:val="21"/>
        <w:szCs w:val="21"/>
        <w:lang w:val="zh-CN" w:eastAsia="zh-CN" w:bidi="zh-CN"/>
      </w:rPr>
    </w:lvl>
    <w:lvl w:ilvl="1" w:tentative="0">
      <w:start w:val="0"/>
      <w:numFmt w:val="bullet"/>
      <w:lvlText w:val="•"/>
      <w:lvlJc w:val="left"/>
      <w:pPr>
        <w:ind w:left="2170" w:hanging="260"/>
      </w:pPr>
      <w:rPr>
        <w:rFonts w:hint="default"/>
        <w:lang w:val="zh-CN" w:eastAsia="zh-CN" w:bidi="zh-CN"/>
      </w:rPr>
    </w:lvl>
    <w:lvl w:ilvl="2" w:tentative="0">
      <w:start w:val="0"/>
      <w:numFmt w:val="bullet"/>
      <w:lvlText w:val="•"/>
      <w:lvlJc w:val="left"/>
      <w:pPr>
        <w:ind w:left="3001" w:hanging="260"/>
      </w:pPr>
      <w:rPr>
        <w:rFonts w:hint="default"/>
        <w:lang w:val="zh-CN" w:eastAsia="zh-CN" w:bidi="zh-CN"/>
      </w:rPr>
    </w:lvl>
    <w:lvl w:ilvl="3" w:tentative="0">
      <w:start w:val="0"/>
      <w:numFmt w:val="bullet"/>
      <w:lvlText w:val="•"/>
      <w:lvlJc w:val="left"/>
      <w:pPr>
        <w:ind w:left="3831" w:hanging="260"/>
      </w:pPr>
      <w:rPr>
        <w:rFonts w:hint="default"/>
        <w:lang w:val="zh-CN" w:eastAsia="zh-CN" w:bidi="zh-CN"/>
      </w:rPr>
    </w:lvl>
    <w:lvl w:ilvl="4" w:tentative="0">
      <w:start w:val="0"/>
      <w:numFmt w:val="bullet"/>
      <w:lvlText w:val="•"/>
      <w:lvlJc w:val="left"/>
      <w:pPr>
        <w:ind w:left="4662" w:hanging="260"/>
      </w:pPr>
      <w:rPr>
        <w:rFonts w:hint="default"/>
        <w:lang w:val="zh-CN" w:eastAsia="zh-CN" w:bidi="zh-CN"/>
      </w:rPr>
    </w:lvl>
    <w:lvl w:ilvl="5" w:tentative="0">
      <w:start w:val="0"/>
      <w:numFmt w:val="bullet"/>
      <w:lvlText w:val="•"/>
      <w:lvlJc w:val="left"/>
      <w:pPr>
        <w:ind w:left="5493" w:hanging="260"/>
      </w:pPr>
      <w:rPr>
        <w:rFonts w:hint="default"/>
        <w:lang w:val="zh-CN" w:eastAsia="zh-CN" w:bidi="zh-CN"/>
      </w:rPr>
    </w:lvl>
    <w:lvl w:ilvl="6" w:tentative="0">
      <w:start w:val="0"/>
      <w:numFmt w:val="bullet"/>
      <w:lvlText w:val="•"/>
      <w:lvlJc w:val="left"/>
      <w:pPr>
        <w:ind w:left="6323" w:hanging="260"/>
      </w:pPr>
      <w:rPr>
        <w:rFonts w:hint="default"/>
        <w:lang w:val="zh-CN" w:eastAsia="zh-CN" w:bidi="zh-CN"/>
      </w:rPr>
    </w:lvl>
    <w:lvl w:ilvl="7" w:tentative="0">
      <w:start w:val="0"/>
      <w:numFmt w:val="bullet"/>
      <w:lvlText w:val="•"/>
      <w:lvlJc w:val="left"/>
      <w:pPr>
        <w:ind w:left="7154" w:hanging="260"/>
      </w:pPr>
      <w:rPr>
        <w:rFonts w:hint="default"/>
        <w:lang w:val="zh-CN" w:eastAsia="zh-CN" w:bidi="zh-CN"/>
      </w:rPr>
    </w:lvl>
    <w:lvl w:ilvl="8" w:tentative="0">
      <w:start w:val="0"/>
      <w:numFmt w:val="bullet"/>
      <w:lvlText w:val="•"/>
      <w:lvlJc w:val="left"/>
      <w:pPr>
        <w:ind w:left="7985" w:hanging="260"/>
      </w:pPr>
      <w:rPr>
        <w:rFonts w:hint="default"/>
        <w:lang w:val="zh-CN" w:eastAsia="zh-CN" w:bidi="zh-CN"/>
      </w:rPr>
    </w:lvl>
  </w:abstractNum>
  <w:abstractNum w:abstractNumId="3">
    <w:nsid w:val="5D71BD0C"/>
    <w:multiLevelType w:val="multilevel"/>
    <w:tmpl w:val="5D71BD0C"/>
    <w:lvl w:ilvl="0" w:tentative="0">
      <w:start w:val="1"/>
      <w:numFmt w:val="decimal"/>
      <w:lvlText w:val="（%1）"/>
      <w:lvlJc w:val="left"/>
      <w:pPr>
        <w:ind w:left="660" w:hanging="529"/>
        <w:jc w:val="left"/>
      </w:pPr>
      <w:rPr>
        <w:rFonts w:hint="default" w:ascii="宋体" w:hAnsi="宋体" w:eastAsia="宋体" w:cs="宋体"/>
        <w:spacing w:val="-3"/>
        <w:w w:val="100"/>
        <w:sz w:val="19"/>
        <w:szCs w:val="19"/>
        <w:lang w:val="zh-CN" w:eastAsia="zh-CN" w:bidi="zh-CN"/>
      </w:rPr>
    </w:lvl>
    <w:lvl w:ilvl="1" w:tentative="0">
      <w:start w:val="1"/>
      <w:numFmt w:val="decimal"/>
      <w:lvlText w:val="（%2）"/>
      <w:lvlJc w:val="left"/>
      <w:pPr>
        <w:ind w:left="660" w:hanging="527"/>
        <w:jc w:val="left"/>
      </w:pPr>
      <w:rPr>
        <w:rFonts w:hint="default" w:ascii="宋体" w:hAnsi="宋体" w:eastAsia="宋体" w:cs="宋体"/>
        <w:spacing w:val="-8"/>
        <w:w w:val="100"/>
        <w:sz w:val="19"/>
        <w:szCs w:val="19"/>
        <w:lang w:val="zh-CN" w:eastAsia="zh-CN" w:bidi="zh-CN"/>
      </w:rPr>
    </w:lvl>
    <w:lvl w:ilvl="2" w:tentative="0">
      <w:start w:val="0"/>
      <w:numFmt w:val="bullet"/>
      <w:lvlText w:val="•"/>
      <w:lvlJc w:val="left"/>
      <w:pPr>
        <w:ind w:left="2457" w:hanging="527"/>
      </w:pPr>
      <w:rPr>
        <w:rFonts w:hint="default"/>
        <w:lang w:val="zh-CN" w:eastAsia="zh-CN" w:bidi="zh-CN"/>
      </w:rPr>
    </w:lvl>
    <w:lvl w:ilvl="3" w:tentative="0">
      <w:start w:val="0"/>
      <w:numFmt w:val="bullet"/>
      <w:lvlText w:val="•"/>
      <w:lvlJc w:val="left"/>
      <w:pPr>
        <w:ind w:left="3355" w:hanging="527"/>
      </w:pPr>
      <w:rPr>
        <w:rFonts w:hint="default"/>
        <w:lang w:val="zh-CN" w:eastAsia="zh-CN" w:bidi="zh-CN"/>
      </w:rPr>
    </w:lvl>
    <w:lvl w:ilvl="4" w:tentative="0">
      <w:start w:val="0"/>
      <w:numFmt w:val="bullet"/>
      <w:lvlText w:val="•"/>
      <w:lvlJc w:val="left"/>
      <w:pPr>
        <w:ind w:left="4254" w:hanging="527"/>
      </w:pPr>
      <w:rPr>
        <w:rFonts w:hint="default"/>
        <w:lang w:val="zh-CN" w:eastAsia="zh-CN" w:bidi="zh-CN"/>
      </w:rPr>
    </w:lvl>
    <w:lvl w:ilvl="5" w:tentative="0">
      <w:start w:val="0"/>
      <w:numFmt w:val="bullet"/>
      <w:lvlText w:val="•"/>
      <w:lvlJc w:val="left"/>
      <w:pPr>
        <w:ind w:left="5153" w:hanging="527"/>
      </w:pPr>
      <w:rPr>
        <w:rFonts w:hint="default"/>
        <w:lang w:val="zh-CN" w:eastAsia="zh-CN" w:bidi="zh-CN"/>
      </w:rPr>
    </w:lvl>
    <w:lvl w:ilvl="6" w:tentative="0">
      <w:start w:val="0"/>
      <w:numFmt w:val="bullet"/>
      <w:lvlText w:val="•"/>
      <w:lvlJc w:val="left"/>
      <w:pPr>
        <w:ind w:left="6051" w:hanging="527"/>
      </w:pPr>
      <w:rPr>
        <w:rFonts w:hint="default"/>
        <w:lang w:val="zh-CN" w:eastAsia="zh-CN" w:bidi="zh-CN"/>
      </w:rPr>
    </w:lvl>
    <w:lvl w:ilvl="7" w:tentative="0">
      <w:start w:val="0"/>
      <w:numFmt w:val="bullet"/>
      <w:lvlText w:val="•"/>
      <w:lvlJc w:val="left"/>
      <w:pPr>
        <w:ind w:left="6950" w:hanging="527"/>
      </w:pPr>
      <w:rPr>
        <w:rFonts w:hint="default"/>
        <w:lang w:val="zh-CN" w:eastAsia="zh-CN" w:bidi="zh-CN"/>
      </w:rPr>
    </w:lvl>
    <w:lvl w:ilvl="8" w:tentative="0">
      <w:start w:val="0"/>
      <w:numFmt w:val="bullet"/>
      <w:lvlText w:val="•"/>
      <w:lvlJc w:val="left"/>
      <w:pPr>
        <w:ind w:left="7849" w:hanging="527"/>
      </w:pPr>
      <w:rPr>
        <w:rFonts w:hint="default"/>
        <w:lang w:val="zh-CN" w:eastAsia="zh-CN" w:bidi="zh-CN"/>
      </w:rPr>
    </w:lvl>
  </w:abstractNum>
  <w:abstractNum w:abstractNumId="4">
    <w:nsid w:val="76B25421"/>
    <w:multiLevelType w:val="multilevel"/>
    <w:tmpl w:val="76B25421"/>
    <w:lvl w:ilvl="0" w:tentative="0">
      <w:start w:val="2"/>
      <w:numFmt w:val="decimal"/>
      <w:lvlText w:val="%1、"/>
      <w:lvlJc w:val="left"/>
      <w:pPr>
        <w:ind w:left="1020" w:hanging="360"/>
      </w:pPr>
      <w:rPr>
        <w:rFonts w:hint="default"/>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A4110B2"/>
    <w:rsid w:val="494D5712"/>
    <w:rsid w:val="539F5435"/>
    <w:rsid w:val="55D9156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kern w:val="0"/>
      <w:sz w:val="22"/>
      <w:szCs w:val="22"/>
      <w:lang w:val="zh-CN" w:eastAsia="zh-CN" w:bidi="zh-CN"/>
    </w:rPr>
  </w:style>
  <w:style w:type="paragraph" w:styleId="2">
    <w:name w:val="heading 1"/>
    <w:basedOn w:val="1"/>
    <w:next w:val="1"/>
    <w:link w:val="11"/>
    <w:qFormat/>
    <w:uiPriority w:val="1"/>
    <w:pPr>
      <w:spacing w:before="108"/>
      <w:ind w:left="642"/>
      <w:jc w:val="center"/>
      <w:outlineLvl w:val="0"/>
    </w:pPr>
    <w:rPr>
      <w:rFonts w:ascii="微软雅黑" w:hAnsi="微软雅黑" w:eastAsia="微软雅黑" w:cs="微软雅黑"/>
      <w:sz w:val="28"/>
      <w:szCs w:val="28"/>
    </w:rPr>
  </w:style>
  <w:style w:type="paragraph" w:styleId="3">
    <w:name w:val="heading 2"/>
    <w:basedOn w:val="1"/>
    <w:next w:val="1"/>
    <w:link w:val="12"/>
    <w:qFormat/>
    <w:uiPriority w:val="1"/>
    <w:pPr>
      <w:ind w:left="660"/>
      <w:outlineLvl w:val="1"/>
    </w:pPr>
    <w:rPr>
      <w:b/>
      <w:bCs/>
      <w:sz w:val="24"/>
      <w:szCs w:val="24"/>
    </w:rPr>
  </w:style>
  <w:style w:type="paragraph" w:styleId="4">
    <w:name w:val="heading 3"/>
    <w:basedOn w:val="1"/>
    <w:next w:val="1"/>
    <w:link w:val="13"/>
    <w:qFormat/>
    <w:uiPriority w:val="1"/>
    <w:pPr>
      <w:spacing w:before="161"/>
      <w:ind w:left="660"/>
      <w:outlineLvl w:val="2"/>
    </w:pPr>
    <w:rPr>
      <w:sz w:val="24"/>
      <w:szCs w:val="24"/>
    </w:rPr>
  </w:style>
  <w:style w:type="paragraph" w:styleId="5">
    <w:name w:val="heading 4"/>
    <w:basedOn w:val="1"/>
    <w:next w:val="1"/>
    <w:link w:val="14"/>
    <w:qFormat/>
    <w:uiPriority w:val="1"/>
    <w:pPr>
      <w:ind w:left="660"/>
      <w:outlineLvl w:val="3"/>
    </w:pPr>
  </w:style>
  <w:style w:type="paragraph" w:styleId="6">
    <w:name w:val="heading 5"/>
    <w:basedOn w:val="1"/>
    <w:next w:val="1"/>
    <w:link w:val="15"/>
    <w:qFormat/>
    <w:uiPriority w:val="1"/>
    <w:pPr>
      <w:ind w:left="660" w:right="570"/>
      <w:jc w:val="both"/>
      <w:outlineLvl w:val="4"/>
    </w:pPr>
    <w:rPr>
      <w:b/>
      <w:bCs/>
      <w:sz w:val="21"/>
      <w:szCs w:val="21"/>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7">
    <w:name w:val="Body Text"/>
    <w:basedOn w:val="1"/>
    <w:link w:val="16"/>
    <w:qFormat/>
    <w:uiPriority w:val="1"/>
    <w:rPr>
      <w:sz w:val="21"/>
      <w:szCs w:val="21"/>
    </w:rPr>
  </w:style>
  <w:style w:type="character" w:styleId="10">
    <w:name w:val="Hyperlink"/>
    <w:basedOn w:val="9"/>
    <w:qFormat/>
    <w:uiPriority w:val="0"/>
    <w:rPr>
      <w:color w:val="0000FF" w:themeColor="hyperlink"/>
      <w:u w:val="single"/>
      <w14:textFill>
        <w14:solidFill>
          <w14:schemeClr w14:val="hlink"/>
        </w14:solidFill>
      </w14:textFill>
    </w:rPr>
  </w:style>
  <w:style w:type="character" w:customStyle="1" w:styleId="11">
    <w:name w:val="标题 1 Char"/>
    <w:basedOn w:val="9"/>
    <w:link w:val="2"/>
    <w:qFormat/>
    <w:uiPriority w:val="1"/>
    <w:rPr>
      <w:rFonts w:ascii="微软雅黑" w:hAnsi="微软雅黑" w:eastAsia="微软雅黑" w:cs="微软雅黑"/>
      <w:kern w:val="0"/>
      <w:sz w:val="28"/>
      <w:szCs w:val="28"/>
      <w:lang w:val="zh-CN" w:bidi="zh-CN"/>
    </w:rPr>
  </w:style>
  <w:style w:type="character" w:customStyle="1" w:styleId="12">
    <w:name w:val="标题 2 Char"/>
    <w:basedOn w:val="9"/>
    <w:link w:val="3"/>
    <w:qFormat/>
    <w:uiPriority w:val="1"/>
    <w:rPr>
      <w:rFonts w:ascii="宋体" w:hAnsi="宋体" w:eastAsia="宋体" w:cs="宋体"/>
      <w:b/>
      <w:bCs/>
      <w:kern w:val="0"/>
      <w:sz w:val="24"/>
      <w:szCs w:val="24"/>
      <w:lang w:val="zh-CN" w:bidi="zh-CN"/>
    </w:rPr>
  </w:style>
  <w:style w:type="character" w:customStyle="1" w:styleId="13">
    <w:name w:val="标题 3 Char"/>
    <w:basedOn w:val="9"/>
    <w:link w:val="4"/>
    <w:qFormat/>
    <w:uiPriority w:val="1"/>
    <w:rPr>
      <w:rFonts w:ascii="宋体" w:hAnsi="宋体" w:eastAsia="宋体" w:cs="宋体"/>
      <w:kern w:val="0"/>
      <w:sz w:val="24"/>
      <w:szCs w:val="24"/>
      <w:lang w:val="zh-CN" w:bidi="zh-CN"/>
    </w:rPr>
  </w:style>
  <w:style w:type="character" w:customStyle="1" w:styleId="14">
    <w:name w:val="标题 4 Char"/>
    <w:basedOn w:val="9"/>
    <w:link w:val="5"/>
    <w:qFormat/>
    <w:uiPriority w:val="1"/>
    <w:rPr>
      <w:rFonts w:ascii="宋体" w:hAnsi="宋体" w:eastAsia="宋体" w:cs="宋体"/>
      <w:kern w:val="0"/>
      <w:sz w:val="22"/>
      <w:lang w:val="zh-CN" w:bidi="zh-CN"/>
    </w:rPr>
  </w:style>
  <w:style w:type="character" w:customStyle="1" w:styleId="15">
    <w:name w:val="标题 5 Char"/>
    <w:basedOn w:val="9"/>
    <w:link w:val="6"/>
    <w:qFormat/>
    <w:uiPriority w:val="1"/>
    <w:rPr>
      <w:rFonts w:ascii="宋体" w:hAnsi="宋体" w:eastAsia="宋体" w:cs="宋体"/>
      <w:b/>
      <w:bCs/>
      <w:kern w:val="0"/>
      <w:szCs w:val="21"/>
      <w:lang w:val="zh-CN" w:bidi="zh-CN"/>
    </w:rPr>
  </w:style>
  <w:style w:type="character" w:customStyle="1" w:styleId="16">
    <w:name w:val="正文文本 Char"/>
    <w:basedOn w:val="9"/>
    <w:link w:val="7"/>
    <w:qFormat/>
    <w:uiPriority w:val="1"/>
    <w:rPr>
      <w:rFonts w:ascii="宋体" w:hAnsi="宋体" w:eastAsia="宋体" w:cs="宋体"/>
      <w:kern w:val="0"/>
      <w:szCs w:val="21"/>
      <w:lang w:val="zh-CN" w:bidi="zh-CN"/>
    </w:rPr>
  </w:style>
  <w:style w:type="paragraph" w:customStyle="1" w:styleId="17">
    <w:name w:val="列出段落1"/>
    <w:basedOn w:val="1"/>
    <w:qFormat/>
    <w:uiPriority w:val="1"/>
    <w:pPr>
      <w:ind w:left="660" w:hanging="530"/>
    </w:pPr>
  </w:style>
  <w:style w:type="paragraph" w:customStyle="1" w:styleId="18">
    <w:name w:val="Table Paragraph"/>
    <w:basedOn w:val="1"/>
    <w:qFormat/>
    <w:uiPriority w:val="1"/>
    <w:pPr>
      <w:spacing w:before="99"/>
      <w:jc w:val="center"/>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564</Words>
  <Characters>3217</Characters>
  <Lines>26</Lines>
  <Paragraphs>7</Paragraphs>
  <TotalTime>9</TotalTime>
  <ScaleCrop>false</ScaleCrop>
  <LinksUpToDate>false</LinksUpToDate>
  <CharactersWithSpaces>3774</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2019-10-22T18:53:00Z</dcterms:created>
  <dc:creator>user</dc:creator>
  <cp:lastModifiedBy>Joru</cp:lastModifiedBy>
  <dcterms:modified xsi:type="dcterms:W3CDTF">2020-02-28T09:22:01Z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